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495" w14:textId="77777777" w:rsidR="003D6913" w:rsidRPr="00831C12" w:rsidRDefault="003D6913" w:rsidP="00831C12">
      <w:pPr>
        <w:sectPr w:rsidR="003D6913" w:rsidRPr="00831C12" w:rsidSect="00AA704D">
          <w:headerReference w:type="even" r:id="rId11"/>
          <w:headerReference w:type="default" r:id="rId12"/>
          <w:footerReference w:type="even" r:id="rId13"/>
          <w:footerReference w:type="default" r:id="rId14"/>
          <w:headerReference w:type="first" r:id="rId15"/>
          <w:footerReference w:type="first" r:id="rId16"/>
          <w:pgSz w:w="11907" w:h="16840" w:code="9"/>
          <w:pgMar w:top="238" w:right="1418" w:bottom="1021" w:left="1418" w:header="0" w:footer="0" w:gutter="0"/>
          <w:pgNumType w:start="1" w:chapStyle="1"/>
          <w:cols w:space="720"/>
          <w:formProt w:val="0"/>
          <w:titlePg/>
          <w:docGrid w:linePitch="299"/>
        </w:sectPr>
      </w:pPr>
    </w:p>
    <w:p w14:paraId="746777F5" w14:textId="4E21B114" w:rsidR="00473FD8" w:rsidRPr="00383BCD" w:rsidRDefault="009B759E" w:rsidP="006A34D9">
      <w:pPr>
        <w:jc w:val="center"/>
        <w:rPr>
          <w:rFonts w:asciiTheme="minorHAnsi" w:hAnsiTheme="minorHAnsi" w:cstheme="minorHAnsi"/>
          <w:sz w:val="24"/>
          <w:szCs w:val="24"/>
        </w:rPr>
      </w:pPr>
      <w:r>
        <w:rPr>
          <w:rFonts w:asciiTheme="minorHAnsi" w:hAnsiTheme="minorHAnsi" w:cstheme="minorHAnsi"/>
          <w:sz w:val="24"/>
          <w:szCs w:val="24"/>
        </w:rPr>
        <w:t>NAOMI MORAA MOYA</w:t>
      </w:r>
      <w:r w:rsidR="00473FD8" w:rsidRPr="00383BCD">
        <w:rPr>
          <w:rFonts w:asciiTheme="minorHAnsi" w:hAnsiTheme="minorHAnsi" w:cstheme="minorHAnsi"/>
          <w:sz w:val="24"/>
          <w:szCs w:val="24"/>
        </w:rPr>
        <w:t xml:space="preserve"> | </w:t>
      </w:r>
      <w:r w:rsidR="006F3444">
        <w:rPr>
          <w:rFonts w:asciiTheme="minorHAnsi" w:hAnsiTheme="minorHAnsi" w:cstheme="minorHAnsi"/>
          <w:sz w:val="24"/>
          <w:szCs w:val="24"/>
        </w:rPr>
        <w:t>PhD</w:t>
      </w:r>
      <w:r w:rsidR="006A34D9">
        <w:rPr>
          <w:rFonts w:asciiTheme="minorHAnsi" w:hAnsiTheme="minorHAnsi" w:cstheme="minorHAnsi"/>
          <w:sz w:val="24"/>
          <w:szCs w:val="24"/>
        </w:rPr>
        <w:t xml:space="preserve"> </w:t>
      </w:r>
      <w:r w:rsidR="00B753C6">
        <w:rPr>
          <w:rFonts w:asciiTheme="minorHAnsi" w:hAnsiTheme="minorHAnsi" w:cstheme="minorHAnsi"/>
          <w:sz w:val="24"/>
          <w:szCs w:val="24"/>
        </w:rPr>
        <w:t>C</w:t>
      </w:r>
      <w:r w:rsidR="006A34D9">
        <w:rPr>
          <w:rFonts w:asciiTheme="minorHAnsi" w:hAnsiTheme="minorHAnsi" w:cstheme="minorHAnsi"/>
          <w:sz w:val="24"/>
          <w:szCs w:val="24"/>
        </w:rPr>
        <w:t>andidate</w:t>
      </w:r>
      <w:r w:rsidR="006F3444">
        <w:rPr>
          <w:rFonts w:asciiTheme="minorHAnsi" w:hAnsiTheme="minorHAnsi" w:cstheme="minorHAnsi"/>
          <w:sz w:val="24"/>
          <w:szCs w:val="24"/>
        </w:rPr>
        <w:t xml:space="preserve"> </w:t>
      </w:r>
      <w:r w:rsidR="00473FD8" w:rsidRPr="00383BCD">
        <w:rPr>
          <w:rFonts w:asciiTheme="minorHAnsi" w:hAnsiTheme="minorHAnsi" w:cstheme="minorHAnsi"/>
          <w:sz w:val="24"/>
          <w:szCs w:val="24"/>
        </w:rPr>
        <w:t xml:space="preserve">| </w:t>
      </w:r>
      <w:r w:rsidR="006F3444">
        <w:rPr>
          <w:rFonts w:asciiTheme="minorHAnsi" w:hAnsiTheme="minorHAnsi" w:cstheme="minorHAnsi"/>
          <w:sz w:val="24"/>
          <w:szCs w:val="24"/>
        </w:rPr>
        <w:t>University of Canterbury</w:t>
      </w:r>
    </w:p>
    <w:p w14:paraId="56731785" w14:textId="77777777" w:rsidR="00473FD8" w:rsidRPr="00383BCD" w:rsidRDefault="00473FD8" w:rsidP="006A34D9">
      <w:pPr>
        <w:jc w:val="center"/>
        <w:rPr>
          <w:rFonts w:asciiTheme="minorHAnsi" w:hAnsiTheme="minorHAnsi" w:cstheme="minorHAnsi"/>
          <w:sz w:val="24"/>
          <w:szCs w:val="24"/>
        </w:rPr>
      </w:pPr>
    </w:p>
    <w:p w14:paraId="627E655C" w14:textId="11A3137F" w:rsidR="006A34D9" w:rsidRDefault="008B3B23" w:rsidP="006A34D9">
      <w:pPr>
        <w:jc w:val="center"/>
        <w:rPr>
          <w:rFonts w:asciiTheme="minorHAnsi" w:hAnsiTheme="minorHAnsi" w:cstheme="minorHAnsi"/>
          <w:b/>
          <w:bCs/>
          <w:sz w:val="24"/>
          <w:szCs w:val="24"/>
        </w:rPr>
      </w:pPr>
      <w:r>
        <w:rPr>
          <w:rFonts w:asciiTheme="minorHAnsi" w:hAnsiTheme="minorHAnsi" w:cstheme="minorHAnsi"/>
          <w:b/>
          <w:bCs/>
          <w:sz w:val="24"/>
          <w:szCs w:val="24"/>
        </w:rPr>
        <w:t xml:space="preserve">Governing </w:t>
      </w:r>
      <w:r w:rsidR="00611A97">
        <w:rPr>
          <w:rFonts w:asciiTheme="minorHAnsi" w:hAnsiTheme="minorHAnsi" w:cstheme="minorHAnsi"/>
          <w:b/>
          <w:bCs/>
          <w:sz w:val="24"/>
          <w:szCs w:val="24"/>
        </w:rPr>
        <w:t xml:space="preserve">Oil in Turkana’s </w:t>
      </w:r>
      <w:r w:rsidR="00A40BA5">
        <w:rPr>
          <w:rFonts w:asciiTheme="minorHAnsi" w:hAnsiTheme="minorHAnsi" w:cstheme="minorHAnsi"/>
          <w:b/>
          <w:bCs/>
          <w:sz w:val="24"/>
          <w:szCs w:val="24"/>
        </w:rPr>
        <w:t>N</w:t>
      </w:r>
      <w:r w:rsidR="00611A97">
        <w:rPr>
          <w:rFonts w:asciiTheme="minorHAnsi" w:hAnsiTheme="minorHAnsi" w:cstheme="minorHAnsi"/>
          <w:b/>
          <w:bCs/>
          <w:sz w:val="24"/>
          <w:szCs w:val="24"/>
        </w:rPr>
        <w:t>ew Extractive Frontier</w:t>
      </w:r>
      <w:r w:rsidR="00845058">
        <w:rPr>
          <w:rFonts w:asciiTheme="minorHAnsi" w:hAnsiTheme="minorHAnsi" w:cstheme="minorHAnsi"/>
          <w:b/>
          <w:bCs/>
          <w:sz w:val="24"/>
          <w:szCs w:val="24"/>
        </w:rPr>
        <w:t>:</w:t>
      </w:r>
      <w:r w:rsidR="00C92FE5">
        <w:rPr>
          <w:rFonts w:asciiTheme="minorHAnsi" w:hAnsiTheme="minorHAnsi" w:cstheme="minorHAnsi"/>
          <w:b/>
          <w:bCs/>
          <w:sz w:val="24"/>
          <w:szCs w:val="24"/>
        </w:rPr>
        <w:t xml:space="preserve"> </w:t>
      </w:r>
    </w:p>
    <w:p w14:paraId="0A012AA2" w14:textId="021B0AEA" w:rsidR="006859B9" w:rsidRPr="00383BCD" w:rsidRDefault="00C92FE5" w:rsidP="006A34D9">
      <w:pPr>
        <w:jc w:val="center"/>
        <w:rPr>
          <w:rFonts w:asciiTheme="minorHAnsi" w:hAnsiTheme="minorHAnsi" w:cstheme="minorHAnsi"/>
          <w:b/>
          <w:bCs/>
          <w:sz w:val="24"/>
          <w:szCs w:val="24"/>
        </w:rPr>
      </w:pPr>
      <w:r>
        <w:rPr>
          <w:rFonts w:asciiTheme="minorHAnsi" w:hAnsiTheme="minorHAnsi" w:cstheme="minorHAnsi"/>
          <w:b/>
          <w:bCs/>
          <w:sz w:val="24"/>
          <w:szCs w:val="24"/>
        </w:rPr>
        <w:t xml:space="preserve">Local Authority, Land Rights and Inclusive </w:t>
      </w:r>
      <w:r w:rsidR="00FD37B1">
        <w:rPr>
          <w:rFonts w:asciiTheme="minorHAnsi" w:hAnsiTheme="minorHAnsi" w:cstheme="minorHAnsi"/>
          <w:b/>
          <w:bCs/>
          <w:sz w:val="24"/>
          <w:szCs w:val="24"/>
        </w:rPr>
        <w:t>Development</w:t>
      </w:r>
    </w:p>
    <w:p w14:paraId="2AF1ECAF" w14:textId="77777777" w:rsidR="006859B9" w:rsidRPr="00473FD8" w:rsidRDefault="006859B9" w:rsidP="00473FD8">
      <w:pPr>
        <w:ind w:firstLine="720"/>
        <w:jc w:val="center"/>
        <w:rPr>
          <w:b/>
          <w:bCs/>
        </w:rPr>
      </w:pPr>
    </w:p>
    <w:tbl>
      <w:tblPr>
        <w:tblStyle w:val="TableGrid"/>
        <w:tblW w:w="11057" w:type="dxa"/>
        <w:tblInd w:w="-1139" w:type="dxa"/>
        <w:shd w:val="clear" w:color="auto" w:fill="D9D9D9" w:themeFill="background1" w:themeFillShade="D9"/>
        <w:tblLook w:val="04A0" w:firstRow="1" w:lastRow="0" w:firstColumn="1" w:lastColumn="0" w:noHBand="0" w:noVBand="1"/>
      </w:tblPr>
      <w:tblGrid>
        <w:gridCol w:w="11057"/>
      </w:tblGrid>
      <w:tr w:rsidR="006859B9" w:rsidRPr="00383BCD" w14:paraId="348A3D10" w14:textId="77777777" w:rsidTr="00F3682C">
        <w:tc>
          <w:tcPr>
            <w:tcW w:w="11057" w:type="dxa"/>
            <w:shd w:val="clear" w:color="auto" w:fill="D9D9D9" w:themeFill="background1" w:themeFillShade="D9"/>
          </w:tcPr>
          <w:p w14:paraId="76CCF46F" w14:textId="01B61447" w:rsidR="006859B9" w:rsidRDefault="006859B9" w:rsidP="000B61F8">
            <w:pPr>
              <w:snapToGrid w:val="0"/>
              <w:spacing w:after="60"/>
              <w:rPr>
                <w:rFonts w:asciiTheme="minorHAnsi" w:hAnsiTheme="minorHAnsi" w:cstheme="minorHAnsi"/>
                <w:szCs w:val="22"/>
              </w:rPr>
            </w:pPr>
            <w:r w:rsidRPr="00383BCD">
              <w:rPr>
                <w:rFonts w:asciiTheme="minorHAnsi" w:hAnsiTheme="minorHAnsi" w:cstheme="minorHAnsi"/>
                <w:b/>
                <w:color w:val="864EA8" w:themeColor="accent1" w:themeShade="BF"/>
                <w:sz w:val="24"/>
                <w:szCs w:val="24"/>
              </w:rPr>
              <w:t>Summary</w:t>
            </w:r>
            <w:r w:rsidRPr="00A62056">
              <w:rPr>
                <w:rFonts w:asciiTheme="minorHAnsi" w:hAnsiTheme="minorHAnsi" w:cstheme="minorHAnsi"/>
                <w:b/>
                <w:color w:val="864EA8" w:themeColor="accent1" w:themeShade="BF"/>
                <w:sz w:val="24"/>
                <w:szCs w:val="24"/>
              </w:rPr>
              <w:t>:</w:t>
            </w:r>
            <w:r w:rsidR="003C3FD0">
              <w:rPr>
                <w:rFonts w:asciiTheme="minorHAnsi" w:hAnsiTheme="minorHAnsi" w:cstheme="minorHAnsi"/>
                <w:b/>
                <w:color w:val="864EA8" w:themeColor="accent1" w:themeShade="BF"/>
              </w:rPr>
              <w:t xml:space="preserve"> </w:t>
            </w:r>
          </w:p>
          <w:p w14:paraId="169AA5DA" w14:textId="6EF3DF2A" w:rsidR="003F4E6C" w:rsidRDefault="003F4E6C" w:rsidP="00B07CE8">
            <w:pPr>
              <w:pStyle w:val="ListParagraph"/>
              <w:numPr>
                <w:ilvl w:val="0"/>
                <w:numId w:val="5"/>
              </w:numPr>
              <w:snapToGrid w:val="0"/>
              <w:spacing w:after="60"/>
              <w:ind w:right="181"/>
              <w:contextualSpacing w:val="0"/>
              <w:rPr>
                <w:rFonts w:asciiTheme="minorHAnsi" w:hAnsiTheme="minorHAnsi" w:cstheme="minorHAnsi"/>
                <w:szCs w:val="22"/>
              </w:rPr>
            </w:pPr>
            <w:r w:rsidRPr="003F4E6C">
              <w:rPr>
                <w:rFonts w:asciiTheme="minorHAnsi" w:hAnsiTheme="minorHAnsi" w:cstheme="minorHAnsi"/>
                <w:szCs w:val="22"/>
              </w:rPr>
              <w:t>This policy brief examines how governance arrangements in Kenya’s oil sector shape development outcomes in Turkana and why expected benefits have largely failed to materialise. It also highlights how the local communities are mobili</w:t>
            </w:r>
            <w:r w:rsidR="008D7D17">
              <w:rPr>
                <w:rFonts w:asciiTheme="minorHAnsi" w:hAnsiTheme="minorHAnsi" w:cstheme="minorHAnsi"/>
                <w:szCs w:val="22"/>
              </w:rPr>
              <w:t>s</w:t>
            </w:r>
            <w:r w:rsidRPr="003F4E6C">
              <w:rPr>
                <w:rFonts w:asciiTheme="minorHAnsi" w:hAnsiTheme="minorHAnsi" w:cstheme="minorHAnsi"/>
                <w:szCs w:val="22"/>
              </w:rPr>
              <w:t xml:space="preserve">ing to seek redress </w:t>
            </w:r>
            <w:r w:rsidR="008D7D17">
              <w:rPr>
                <w:rFonts w:asciiTheme="minorHAnsi" w:hAnsiTheme="minorHAnsi" w:cstheme="minorHAnsi"/>
                <w:szCs w:val="22"/>
              </w:rPr>
              <w:t>for</w:t>
            </w:r>
            <w:r w:rsidR="008D7D17" w:rsidRPr="003F4E6C">
              <w:rPr>
                <w:rFonts w:asciiTheme="minorHAnsi" w:hAnsiTheme="minorHAnsi" w:cstheme="minorHAnsi"/>
                <w:szCs w:val="22"/>
              </w:rPr>
              <w:t xml:space="preserve"> </w:t>
            </w:r>
            <w:r w:rsidRPr="003F4E6C">
              <w:rPr>
                <w:rFonts w:asciiTheme="minorHAnsi" w:hAnsiTheme="minorHAnsi" w:cstheme="minorHAnsi"/>
                <w:szCs w:val="22"/>
              </w:rPr>
              <w:t>these failures.</w:t>
            </w:r>
          </w:p>
          <w:p w14:paraId="5B19D678" w14:textId="7F5FBB20" w:rsidR="006C7E92" w:rsidRDefault="004C43AE" w:rsidP="00B07CE8">
            <w:pPr>
              <w:pStyle w:val="ListParagraph"/>
              <w:numPr>
                <w:ilvl w:val="0"/>
                <w:numId w:val="5"/>
              </w:numPr>
              <w:snapToGrid w:val="0"/>
              <w:spacing w:after="60"/>
              <w:ind w:right="181"/>
              <w:contextualSpacing w:val="0"/>
              <w:rPr>
                <w:rFonts w:asciiTheme="minorHAnsi" w:hAnsiTheme="minorHAnsi" w:cstheme="minorHAnsi"/>
                <w:szCs w:val="22"/>
              </w:rPr>
            </w:pPr>
            <w:r>
              <w:rPr>
                <w:rFonts w:asciiTheme="minorHAnsi" w:hAnsiTheme="minorHAnsi" w:cstheme="minorHAnsi"/>
                <w:szCs w:val="22"/>
              </w:rPr>
              <w:t>O</w:t>
            </w:r>
            <w:r w:rsidR="00504F5C">
              <w:rPr>
                <w:rFonts w:asciiTheme="minorHAnsi" w:hAnsiTheme="minorHAnsi" w:cstheme="minorHAnsi"/>
                <w:szCs w:val="22"/>
              </w:rPr>
              <w:t>il</w:t>
            </w:r>
            <w:r>
              <w:rPr>
                <w:rFonts w:asciiTheme="minorHAnsi" w:hAnsiTheme="minorHAnsi" w:cstheme="minorHAnsi"/>
                <w:szCs w:val="22"/>
              </w:rPr>
              <w:t xml:space="preserve"> </w:t>
            </w:r>
            <w:r w:rsidR="00504F5C">
              <w:rPr>
                <w:rFonts w:asciiTheme="minorHAnsi" w:hAnsiTheme="minorHAnsi" w:cstheme="minorHAnsi"/>
                <w:szCs w:val="22"/>
              </w:rPr>
              <w:t xml:space="preserve">in </w:t>
            </w:r>
            <w:r w:rsidR="001139EA">
              <w:rPr>
                <w:rFonts w:asciiTheme="minorHAnsi" w:hAnsiTheme="minorHAnsi" w:cstheme="minorHAnsi"/>
                <w:szCs w:val="22"/>
              </w:rPr>
              <w:t xml:space="preserve">Kenya’s </w:t>
            </w:r>
            <w:r w:rsidR="00A45CE9">
              <w:rPr>
                <w:rFonts w:asciiTheme="minorHAnsi" w:hAnsiTheme="minorHAnsi" w:cstheme="minorHAnsi"/>
                <w:szCs w:val="22"/>
              </w:rPr>
              <w:t xml:space="preserve">Turkana </w:t>
            </w:r>
            <w:r w:rsidR="005321C9">
              <w:rPr>
                <w:rFonts w:asciiTheme="minorHAnsi" w:hAnsiTheme="minorHAnsi" w:cstheme="minorHAnsi"/>
                <w:szCs w:val="22"/>
              </w:rPr>
              <w:t>County</w:t>
            </w:r>
            <w:r w:rsidR="000B61F8">
              <w:rPr>
                <w:rFonts w:asciiTheme="minorHAnsi" w:hAnsiTheme="minorHAnsi" w:cstheme="minorHAnsi"/>
                <w:szCs w:val="22"/>
              </w:rPr>
              <w:t xml:space="preserve"> </w:t>
            </w:r>
            <w:r w:rsidR="00504F5C">
              <w:rPr>
                <w:rFonts w:asciiTheme="minorHAnsi" w:hAnsiTheme="minorHAnsi" w:cstheme="minorHAnsi"/>
                <w:szCs w:val="22"/>
              </w:rPr>
              <w:t xml:space="preserve">has failed to deliver </w:t>
            </w:r>
            <w:r w:rsidR="000E7B37">
              <w:rPr>
                <w:rFonts w:asciiTheme="minorHAnsi" w:hAnsiTheme="minorHAnsi" w:cstheme="minorHAnsi"/>
                <w:szCs w:val="22"/>
              </w:rPr>
              <w:t>durable local benefits</w:t>
            </w:r>
            <w:r w:rsidR="00385BCB">
              <w:rPr>
                <w:rFonts w:asciiTheme="minorHAnsi" w:hAnsiTheme="minorHAnsi" w:cstheme="minorHAnsi"/>
                <w:szCs w:val="22"/>
              </w:rPr>
              <w:t xml:space="preserve"> and </w:t>
            </w:r>
            <w:r w:rsidR="0058245A">
              <w:rPr>
                <w:rFonts w:asciiTheme="minorHAnsi" w:hAnsiTheme="minorHAnsi" w:cstheme="minorHAnsi"/>
                <w:szCs w:val="22"/>
              </w:rPr>
              <w:t>has</w:t>
            </w:r>
            <w:r w:rsidR="00385BCB">
              <w:rPr>
                <w:rFonts w:asciiTheme="minorHAnsi" w:hAnsiTheme="minorHAnsi" w:cstheme="minorHAnsi"/>
                <w:szCs w:val="22"/>
              </w:rPr>
              <w:t xml:space="preserve"> instead </w:t>
            </w:r>
            <w:r w:rsidR="00E676B6">
              <w:rPr>
                <w:rFonts w:asciiTheme="minorHAnsi" w:hAnsiTheme="minorHAnsi" w:cstheme="minorHAnsi"/>
                <w:szCs w:val="22"/>
              </w:rPr>
              <w:t xml:space="preserve">increased social, environmental and human </w:t>
            </w:r>
            <w:r w:rsidR="00560B85">
              <w:rPr>
                <w:rFonts w:asciiTheme="minorHAnsi" w:hAnsiTheme="minorHAnsi" w:cstheme="minorHAnsi"/>
                <w:szCs w:val="22"/>
              </w:rPr>
              <w:t xml:space="preserve">rights </w:t>
            </w:r>
            <w:r w:rsidR="00B36653">
              <w:rPr>
                <w:rFonts w:asciiTheme="minorHAnsi" w:hAnsiTheme="minorHAnsi" w:cstheme="minorHAnsi"/>
                <w:szCs w:val="22"/>
              </w:rPr>
              <w:t xml:space="preserve">abuses </w:t>
            </w:r>
            <w:r w:rsidR="00560B85">
              <w:rPr>
                <w:rFonts w:asciiTheme="minorHAnsi" w:hAnsiTheme="minorHAnsi" w:cstheme="minorHAnsi"/>
                <w:szCs w:val="22"/>
              </w:rPr>
              <w:t>fo</w:t>
            </w:r>
            <w:r w:rsidR="00C47FF2">
              <w:rPr>
                <w:rFonts w:asciiTheme="minorHAnsi" w:hAnsiTheme="minorHAnsi" w:cstheme="minorHAnsi"/>
                <w:szCs w:val="22"/>
              </w:rPr>
              <w:t>r</w:t>
            </w:r>
            <w:r w:rsidR="00560B85">
              <w:rPr>
                <w:rFonts w:asciiTheme="minorHAnsi" w:hAnsiTheme="minorHAnsi" w:cstheme="minorHAnsi"/>
                <w:szCs w:val="22"/>
              </w:rPr>
              <w:t xml:space="preserve"> commun</w:t>
            </w:r>
            <w:r w:rsidR="00C47FF2">
              <w:rPr>
                <w:rFonts w:asciiTheme="minorHAnsi" w:hAnsiTheme="minorHAnsi" w:cstheme="minorHAnsi"/>
                <w:szCs w:val="22"/>
              </w:rPr>
              <w:t xml:space="preserve">ities </w:t>
            </w:r>
            <w:r w:rsidR="00560B85">
              <w:rPr>
                <w:rFonts w:asciiTheme="minorHAnsi" w:hAnsiTheme="minorHAnsi" w:cstheme="minorHAnsi"/>
                <w:szCs w:val="22"/>
              </w:rPr>
              <w:t xml:space="preserve">already facing </w:t>
            </w:r>
            <w:r w:rsidR="00195D61">
              <w:rPr>
                <w:rFonts w:asciiTheme="minorHAnsi" w:hAnsiTheme="minorHAnsi" w:cstheme="minorHAnsi"/>
                <w:szCs w:val="22"/>
              </w:rPr>
              <w:t>extreme</w:t>
            </w:r>
            <w:r w:rsidR="00560B85">
              <w:rPr>
                <w:rFonts w:asciiTheme="minorHAnsi" w:hAnsiTheme="minorHAnsi" w:cstheme="minorHAnsi"/>
                <w:szCs w:val="22"/>
              </w:rPr>
              <w:t xml:space="preserve"> poverty and </w:t>
            </w:r>
            <w:r w:rsidR="00FB374C">
              <w:rPr>
                <w:rFonts w:asciiTheme="minorHAnsi" w:hAnsiTheme="minorHAnsi" w:cstheme="minorHAnsi"/>
                <w:szCs w:val="22"/>
              </w:rPr>
              <w:t>climate vulnerability</w:t>
            </w:r>
            <w:r w:rsidR="006C7E92">
              <w:rPr>
                <w:rFonts w:asciiTheme="minorHAnsi" w:hAnsiTheme="minorHAnsi" w:cstheme="minorHAnsi"/>
                <w:szCs w:val="22"/>
              </w:rPr>
              <w:t>.</w:t>
            </w:r>
          </w:p>
          <w:p w14:paraId="1BB4B76F" w14:textId="6E7D4EA2" w:rsidR="001139EA" w:rsidRPr="0001606C" w:rsidRDefault="0001606C" w:rsidP="00B07CE8">
            <w:pPr>
              <w:pStyle w:val="ListParagraph"/>
              <w:numPr>
                <w:ilvl w:val="0"/>
                <w:numId w:val="5"/>
              </w:numPr>
              <w:snapToGrid w:val="0"/>
              <w:spacing w:after="60"/>
              <w:ind w:right="181"/>
              <w:contextualSpacing w:val="0"/>
              <w:rPr>
                <w:rFonts w:asciiTheme="minorHAnsi" w:hAnsiTheme="minorHAnsi" w:cstheme="minorHAnsi"/>
                <w:szCs w:val="22"/>
              </w:rPr>
            </w:pPr>
            <w:r w:rsidRPr="0001606C">
              <w:rPr>
                <w:rFonts w:asciiTheme="minorHAnsi" w:hAnsiTheme="minorHAnsi" w:cstheme="minorHAnsi"/>
                <w:szCs w:val="22"/>
              </w:rPr>
              <w:t>Although th</w:t>
            </w:r>
            <w:r w:rsidR="000B61F8" w:rsidRPr="0001606C">
              <w:rPr>
                <w:rFonts w:asciiTheme="minorHAnsi" w:hAnsiTheme="minorHAnsi" w:cstheme="minorHAnsi"/>
                <w:szCs w:val="22"/>
              </w:rPr>
              <w:t>is lack of</w:t>
            </w:r>
            <w:r w:rsidR="00405A22" w:rsidRPr="0001606C">
              <w:rPr>
                <w:rFonts w:asciiTheme="minorHAnsi" w:hAnsiTheme="minorHAnsi" w:cstheme="minorHAnsi"/>
                <w:szCs w:val="22"/>
              </w:rPr>
              <w:t xml:space="preserve"> development</w:t>
            </w:r>
            <w:r w:rsidR="000B61F8" w:rsidRPr="0001606C">
              <w:rPr>
                <w:rFonts w:asciiTheme="minorHAnsi" w:hAnsiTheme="minorHAnsi" w:cstheme="minorHAnsi"/>
                <w:szCs w:val="22"/>
              </w:rPr>
              <w:t xml:space="preserve"> benefits is often attributed to weak </w:t>
            </w:r>
            <w:r w:rsidR="00B5368D" w:rsidRPr="0001606C">
              <w:rPr>
                <w:rFonts w:asciiTheme="minorHAnsi" w:hAnsiTheme="minorHAnsi" w:cstheme="minorHAnsi"/>
                <w:szCs w:val="22"/>
              </w:rPr>
              <w:t xml:space="preserve">or </w:t>
            </w:r>
            <w:r w:rsidR="008D7D17">
              <w:rPr>
                <w:rFonts w:asciiTheme="minorHAnsi" w:hAnsiTheme="minorHAnsi" w:cstheme="minorHAnsi"/>
                <w:szCs w:val="22"/>
              </w:rPr>
              <w:t>absent</w:t>
            </w:r>
            <w:r w:rsidR="000B61F8" w:rsidRPr="0001606C">
              <w:rPr>
                <w:rFonts w:asciiTheme="minorHAnsi" w:hAnsiTheme="minorHAnsi" w:cstheme="minorHAnsi"/>
                <w:szCs w:val="22"/>
              </w:rPr>
              <w:t xml:space="preserve"> </w:t>
            </w:r>
            <w:r w:rsidR="00563576" w:rsidRPr="0001606C">
              <w:rPr>
                <w:rFonts w:asciiTheme="minorHAnsi" w:hAnsiTheme="minorHAnsi" w:cstheme="minorHAnsi"/>
                <w:szCs w:val="22"/>
              </w:rPr>
              <w:t>policies</w:t>
            </w:r>
            <w:r w:rsidR="006004F6" w:rsidRPr="0001606C">
              <w:rPr>
                <w:rFonts w:asciiTheme="minorHAnsi" w:hAnsiTheme="minorHAnsi" w:cstheme="minorHAnsi"/>
                <w:szCs w:val="22"/>
              </w:rPr>
              <w:t>, laws</w:t>
            </w:r>
            <w:r w:rsidR="008D7D17">
              <w:rPr>
                <w:rFonts w:asciiTheme="minorHAnsi" w:hAnsiTheme="minorHAnsi" w:cstheme="minorHAnsi"/>
                <w:szCs w:val="22"/>
              </w:rPr>
              <w:t>,</w:t>
            </w:r>
            <w:r w:rsidR="006004F6" w:rsidRPr="0001606C">
              <w:rPr>
                <w:rFonts w:asciiTheme="minorHAnsi" w:hAnsiTheme="minorHAnsi" w:cstheme="minorHAnsi"/>
                <w:szCs w:val="22"/>
              </w:rPr>
              <w:t xml:space="preserve"> or development plans</w:t>
            </w:r>
            <w:r w:rsidRPr="0001606C">
              <w:rPr>
                <w:rFonts w:asciiTheme="minorHAnsi" w:hAnsiTheme="minorHAnsi" w:cstheme="minorHAnsi"/>
                <w:szCs w:val="22"/>
              </w:rPr>
              <w:t xml:space="preserve">, </w:t>
            </w:r>
            <w:r>
              <w:rPr>
                <w:rFonts w:asciiTheme="minorHAnsi" w:hAnsiTheme="minorHAnsi" w:cstheme="minorHAnsi"/>
                <w:szCs w:val="22"/>
              </w:rPr>
              <w:t>t</w:t>
            </w:r>
            <w:r w:rsidR="000B61F8" w:rsidRPr="0001606C">
              <w:rPr>
                <w:rFonts w:asciiTheme="minorHAnsi" w:hAnsiTheme="minorHAnsi" w:cstheme="minorHAnsi"/>
                <w:szCs w:val="22"/>
              </w:rPr>
              <w:t xml:space="preserve">his research </w:t>
            </w:r>
            <w:r w:rsidR="001139EA" w:rsidRPr="0001606C">
              <w:rPr>
                <w:rFonts w:asciiTheme="minorHAnsi" w:hAnsiTheme="minorHAnsi" w:cstheme="minorHAnsi"/>
                <w:szCs w:val="22"/>
              </w:rPr>
              <w:t xml:space="preserve">argues </w:t>
            </w:r>
            <w:r w:rsidR="000B61F8" w:rsidRPr="0001606C">
              <w:rPr>
                <w:rFonts w:asciiTheme="minorHAnsi" w:hAnsiTheme="minorHAnsi" w:cstheme="minorHAnsi"/>
                <w:szCs w:val="22"/>
              </w:rPr>
              <w:t xml:space="preserve">that </w:t>
            </w:r>
            <w:r w:rsidR="001139EA" w:rsidRPr="0001606C">
              <w:rPr>
                <w:rFonts w:asciiTheme="minorHAnsi" w:hAnsiTheme="minorHAnsi" w:cstheme="minorHAnsi"/>
                <w:szCs w:val="22"/>
              </w:rPr>
              <w:t xml:space="preserve">such development </w:t>
            </w:r>
            <w:r w:rsidR="00806765" w:rsidRPr="0001606C">
              <w:rPr>
                <w:rFonts w:asciiTheme="minorHAnsi" w:hAnsiTheme="minorHAnsi" w:cstheme="minorHAnsi"/>
                <w:szCs w:val="22"/>
              </w:rPr>
              <w:t xml:space="preserve">outcomes </w:t>
            </w:r>
            <w:r w:rsidR="001139EA" w:rsidRPr="0001606C">
              <w:rPr>
                <w:rFonts w:asciiTheme="minorHAnsi" w:hAnsiTheme="minorHAnsi" w:cstheme="minorHAnsi"/>
                <w:szCs w:val="22"/>
              </w:rPr>
              <w:t>are better understood as the results of a lack of</w:t>
            </w:r>
            <w:r w:rsidR="00FE6A52" w:rsidRPr="0001606C">
              <w:rPr>
                <w:rFonts w:asciiTheme="minorHAnsi" w:hAnsiTheme="minorHAnsi" w:cstheme="minorHAnsi"/>
                <w:szCs w:val="22"/>
              </w:rPr>
              <w:t xml:space="preserve"> </w:t>
            </w:r>
            <w:r w:rsidR="009C4C9B" w:rsidRPr="0001606C">
              <w:rPr>
                <w:rFonts w:asciiTheme="minorHAnsi" w:hAnsiTheme="minorHAnsi" w:cstheme="minorHAnsi"/>
                <w:szCs w:val="22"/>
              </w:rPr>
              <w:t>community</w:t>
            </w:r>
            <w:r w:rsidR="00FE6A52" w:rsidRPr="0001606C">
              <w:rPr>
                <w:rFonts w:asciiTheme="minorHAnsi" w:hAnsiTheme="minorHAnsi" w:cstheme="minorHAnsi"/>
                <w:szCs w:val="22"/>
              </w:rPr>
              <w:t xml:space="preserve"> </w:t>
            </w:r>
            <w:r w:rsidR="001139EA" w:rsidRPr="0001606C">
              <w:rPr>
                <w:rFonts w:asciiTheme="minorHAnsi" w:hAnsiTheme="minorHAnsi" w:cstheme="minorHAnsi"/>
                <w:szCs w:val="22"/>
              </w:rPr>
              <w:t xml:space="preserve">involvement in key decisions and crucially, a lack of </w:t>
            </w:r>
            <w:r w:rsidR="00FE6A52" w:rsidRPr="0001606C">
              <w:rPr>
                <w:rFonts w:asciiTheme="minorHAnsi" w:hAnsiTheme="minorHAnsi" w:cstheme="minorHAnsi"/>
                <w:szCs w:val="22"/>
              </w:rPr>
              <w:t xml:space="preserve">authority </w:t>
            </w:r>
            <w:r w:rsidR="00F052E7" w:rsidRPr="0001606C">
              <w:rPr>
                <w:rFonts w:asciiTheme="minorHAnsi" w:hAnsiTheme="minorHAnsi" w:cstheme="minorHAnsi"/>
                <w:szCs w:val="22"/>
              </w:rPr>
              <w:t>over land</w:t>
            </w:r>
            <w:r w:rsidR="001139EA" w:rsidRPr="0001606C">
              <w:rPr>
                <w:rFonts w:asciiTheme="minorHAnsi" w:hAnsiTheme="minorHAnsi" w:cstheme="minorHAnsi"/>
                <w:szCs w:val="22"/>
              </w:rPr>
              <w:t xml:space="preserve">. </w:t>
            </w:r>
          </w:p>
          <w:p w14:paraId="068E2213" w14:textId="13F9EC97" w:rsidR="00117463" w:rsidRDefault="001139EA" w:rsidP="00B07CE8">
            <w:pPr>
              <w:pStyle w:val="ListParagraph"/>
              <w:numPr>
                <w:ilvl w:val="0"/>
                <w:numId w:val="5"/>
              </w:numPr>
              <w:snapToGrid w:val="0"/>
              <w:spacing w:after="60"/>
              <w:ind w:right="181"/>
              <w:contextualSpacing w:val="0"/>
              <w:rPr>
                <w:rFonts w:asciiTheme="minorHAnsi" w:hAnsiTheme="minorHAnsi" w:cstheme="minorHAnsi"/>
                <w:szCs w:val="22"/>
              </w:rPr>
            </w:pPr>
            <w:r>
              <w:rPr>
                <w:rFonts w:asciiTheme="minorHAnsi" w:hAnsiTheme="minorHAnsi" w:cstheme="minorHAnsi"/>
                <w:szCs w:val="22"/>
              </w:rPr>
              <w:t>Field work involving</w:t>
            </w:r>
            <w:r w:rsidR="00C10237">
              <w:rPr>
                <w:rFonts w:asciiTheme="minorHAnsi" w:hAnsiTheme="minorHAnsi" w:cstheme="minorHAnsi"/>
                <w:szCs w:val="22"/>
              </w:rPr>
              <w:t xml:space="preserve"> interviews with</w:t>
            </w:r>
            <w:r w:rsidR="00C10237" w:rsidRPr="00C10237">
              <w:rPr>
                <w:rFonts w:asciiTheme="minorHAnsi" w:hAnsiTheme="minorHAnsi" w:cstheme="minorHAnsi"/>
                <w:iCs/>
                <w:szCs w:val="22"/>
              </w:rPr>
              <w:t xml:space="preserve"> community members, civil society organisations, government officials and industry representatives</w:t>
            </w:r>
            <w:r w:rsidR="00C10237" w:rsidRPr="00C10237">
              <w:rPr>
                <w:rFonts w:asciiTheme="minorHAnsi" w:hAnsiTheme="minorHAnsi" w:cstheme="minorHAnsi"/>
                <w:szCs w:val="22"/>
              </w:rPr>
              <w:t xml:space="preserve"> </w:t>
            </w:r>
            <w:r>
              <w:rPr>
                <w:rFonts w:asciiTheme="minorHAnsi" w:hAnsiTheme="minorHAnsi" w:cstheme="minorHAnsi"/>
                <w:szCs w:val="22"/>
              </w:rPr>
              <w:t xml:space="preserve">shows </w:t>
            </w:r>
            <w:r w:rsidR="008D7D17">
              <w:rPr>
                <w:rFonts w:asciiTheme="minorHAnsi" w:hAnsiTheme="minorHAnsi" w:cstheme="minorHAnsi"/>
                <w:szCs w:val="22"/>
              </w:rPr>
              <w:t xml:space="preserve">that </w:t>
            </w:r>
            <w:r>
              <w:rPr>
                <w:rFonts w:asciiTheme="minorHAnsi" w:hAnsiTheme="minorHAnsi" w:cstheme="minorHAnsi"/>
                <w:szCs w:val="22"/>
              </w:rPr>
              <w:t>almost all m</w:t>
            </w:r>
            <w:r w:rsidR="004A6D96">
              <w:rPr>
                <w:rFonts w:asciiTheme="minorHAnsi" w:hAnsiTheme="minorHAnsi" w:cstheme="minorHAnsi"/>
                <w:szCs w:val="22"/>
              </w:rPr>
              <w:t>ajor</w:t>
            </w:r>
            <w:r w:rsidR="00813864">
              <w:rPr>
                <w:rFonts w:asciiTheme="minorHAnsi" w:hAnsiTheme="minorHAnsi" w:cstheme="minorHAnsi"/>
                <w:szCs w:val="22"/>
              </w:rPr>
              <w:t xml:space="preserve"> decisions</w:t>
            </w:r>
            <w:r>
              <w:rPr>
                <w:rFonts w:asciiTheme="minorHAnsi" w:hAnsiTheme="minorHAnsi" w:cstheme="minorHAnsi"/>
                <w:szCs w:val="22"/>
              </w:rPr>
              <w:t xml:space="preserve"> over the project, including </w:t>
            </w:r>
            <w:r w:rsidR="00813864">
              <w:rPr>
                <w:rFonts w:asciiTheme="minorHAnsi" w:hAnsiTheme="minorHAnsi" w:cstheme="minorHAnsi"/>
                <w:szCs w:val="22"/>
              </w:rPr>
              <w:t>lice</w:t>
            </w:r>
            <w:r w:rsidR="00C20200">
              <w:rPr>
                <w:rFonts w:asciiTheme="minorHAnsi" w:hAnsiTheme="minorHAnsi" w:cstheme="minorHAnsi"/>
                <w:szCs w:val="22"/>
              </w:rPr>
              <w:t>nsing, land access</w:t>
            </w:r>
            <w:r w:rsidR="007D27D4">
              <w:rPr>
                <w:rFonts w:asciiTheme="minorHAnsi" w:hAnsiTheme="minorHAnsi" w:cstheme="minorHAnsi"/>
                <w:szCs w:val="22"/>
              </w:rPr>
              <w:t>, production timelines and revenues</w:t>
            </w:r>
            <w:r>
              <w:rPr>
                <w:rFonts w:asciiTheme="minorHAnsi" w:hAnsiTheme="minorHAnsi" w:cstheme="minorHAnsi"/>
                <w:szCs w:val="22"/>
              </w:rPr>
              <w:t xml:space="preserve">, were </w:t>
            </w:r>
            <w:r w:rsidR="007D27D4">
              <w:rPr>
                <w:rFonts w:asciiTheme="minorHAnsi" w:hAnsiTheme="minorHAnsi" w:cstheme="minorHAnsi"/>
                <w:szCs w:val="22"/>
              </w:rPr>
              <w:t xml:space="preserve">made at the national level </w:t>
            </w:r>
            <w:r>
              <w:rPr>
                <w:rFonts w:asciiTheme="minorHAnsi" w:hAnsiTheme="minorHAnsi" w:cstheme="minorHAnsi"/>
                <w:szCs w:val="22"/>
              </w:rPr>
              <w:t xml:space="preserve">and </w:t>
            </w:r>
            <w:r w:rsidR="00E04CB2">
              <w:rPr>
                <w:rFonts w:asciiTheme="minorHAnsi" w:hAnsiTheme="minorHAnsi" w:cstheme="minorHAnsi"/>
                <w:szCs w:val="22"/>
              </w:rPr>
              <w:t xml:space="preserve">often before community land rights </w:t>
            </w:r>
            <w:r>
              <w:rPr>
                <w:rFonts w:asciiTheme="minorHAnsi" w:hAnsiTheme="minorHAnsi" w:cstheme="minorHAnsi"/>
                <w:szCs w:val="22"/>
              </w:rPr>
              <w:t xml:space="preserve">were </w:t>
            </w:r>
            <w:r w:rsidR="00E04CB2">
              <w:rPr>
                <w:rFonts w:asciiTheme="minorHAnsi" w:hAnsiTheme="minorHAnsi" w:cstheme="minorHAnsi"/>
                <w:szCs w:val="22"/>
              </w:rPr>
              <w:t xml:space="preserve">secured. </w:t>
            </w:r>
          </w:p>
          <w:p w14:paraId="0AE7C36E" w14:textId="0113D6A0" w:rsidR="001139EA" w:rsidRPr="00695E42" w:rsidRDefault="001139EA" w:rsidP="00B07CE8">
            <w:pPr>
              <w:pStyle w:val="ListParagraph"/>
              <w:numPr>
                <w:ilvl w:val="0"/>
                <w:numId w:val="5"/>
              </w:numPr>
              <w:snapToGrid w:val="0"/>
              <w:spacing w:after="60"/>
              <w:ind w:right="181"/>
              <w:contextualSpacing w:val="0"/>
              <w:rPr>
                <w:rFonts w:asciiTheme="minorHAnsi" w:hAnsiTheme="minorHAnsi" w:cstheme="minorHAnsi"/>
                <w:i/>
                <w:color w:val="800080"/>
              </w:rPr>
            </w:pPr>
            <w:r>
              <w:rPr>
                <w:rFonts w:asciiTheme="minorHAnsi" w:hAnsiTheme="minorHAnsi" w:cstheme="minorHAnsi"/>
                <w:szCs w:val="22"/>
              </w:rPr>
              <w:t>This process has exacerbated the ongoing</w:t>
            </w:r>
            <w:r w:rsidR="003E37F6">
              <w:rPr>
                <w:rFonts w:asciiTheme="minorHAnsi" w:hAnsiTheme="minorHAnsi" w:cstheme="minorHAnsi"/>
                <w:szCs w:val="22"/>
              </w:rPr>
              <w:t xml:space="preserve"> </w:t>
            </w:r>
            <w:r w:rsidR="00B87CBE">
              <w:rPr>
                <w:rFonts w:asciiTheme="minorHAnsi" w:hAnsiTheme="minorHAnsi" w:cstheme="minorHAnsi"/>
                <w:szCs w:val="22"/>
              </w:rPr>
              <w:t xml:space="preserve">responses </w:t>
            </w:r>
            <w:r>
              <w:rPr>
                <w:rFonts w:asciiTheme="minorHAnsi" w:hAnsiTheme="minorHAnsi" w:cstheme="minorHAnsi"/>
                <w:szCs w:val="22"/>
              </w:rPr>
              <w:t xml:space="preserve">over the </w:t>
            </w:r>
            <w:r w:rsidR="000B2458">
              <w:rPr>
                <w:rFonts w:asciiTheme="minorHAnsi" w:hAnsiTheme="minorHAnsi" w:cstheme="minorHAnsi"/>
                <w:szCs w:val="22"/>
              </w:rPr>
              <w:t xml:space="preserve">social and </w:t>
            </w:r>
            <w:r w:rsidR="00CB6E8A">
              <w:rPr>
                <w:rFonts w:asciiTheme="minorHAnsi" w:hAnsiTheme="minorHAnsi" w:cstheme="minorHAnsi"/>
                <w:szCs w:val="22"/>
              </w:rPr>
              <w:t xml:space="preserve">environmental impacts </w:t>
            </w:r>
            <w:r w:rsidR="00C82401">
              <w:rPr>
                <w:rFonts w:asciiTheme="minorHAnsi" w:hAnsiTheme="minorHAnsi" w:cstheme="minorHAnsi"/>
                <w:szCs w:val="22"/>
              </w:rPr>
              <w:t>of</w:t>
            </w:r>
            <w:r w:rsidR="009B33EE">
              <w:rPr>
                <w:rFonts w:asciiTheme="minorHAnsi" w:hAnsiTheme="minorHAnsi" w:cstheme="minorHAnsi"/>
                <w:szCs w:val="22"/>
              </w:rPr>
              <w:t xml:space="preserve"> </w:t>
            </w:r>
            <w:r>
              <w:rPr>
                <w:rFonts w:asciiTheme="minorHAnsi" w:hAnsiTheme="minorHAnsi" w:cstheme="minorHAnsi"/>
                <w:szCs w:val="22"/>
              </w:rPr>
              <w:t xml:space="preserve">the projects on local communities. </w:t>
            </w:r>
          </w:p>
          <w:p w14:paraId="5C61187F" w14:textId="4B372C9C" w:rsidR="00363AF4" w:rsidRPr="00363AF4" w:rsidRDefault="001139EA" w:rsidP="00B07CE8">
            <w:pPr>
              <w:pStyle w:val="ListParagraph"/>
              <w:numPr>
                <w:ilvl w:val="0"/>
                <w:numId w:val="5"/>
              </w:numPr>
              <w:snapToGrid w:val="0"/>
              <w:spacing w:after="60"/>
              <w:ind w:right="181"/>
              <w:contextualSpacing w:val="0"/>
              <w:rPr>
                <w:rFonts w:asciiTheme="minorHAnsi" w:hAnsiTheme="minorHAnsi" w:cstheme="minorHAnsi"/>
                <w:i/>
                <w:color w:val="800080"/>
              </w:rPr>
            </w:pPr>
            <w:r>
              <w:rPr>
                <w:rFonts w:asciiTheme="minorHAnsi" w:hAnsiTheme="minorHAnsi" w:cstheme="minorHAnsi"/>
                <w:szCs w:val="22"/>
              </w:rPr>
              <w:t>C</w:t>
            </w:r>
            <w:r w:rsidR="003E37F6">
              <w:rPr>
                <w:rFonts w:asciiTheme="minorHAnsi" w:hAnsiTheme="minorHAnsi" w:cstheme="minorHAnsi"/>
                <w:szCs w:val="22"/>
              </w:rPr>
              <w:t>onsultation</w:t>
            </w:r>
            <w:r w:rsidR="009B33EE">
              <w:rPr>
                <w:rFonts w:asciiTheme="minorHAnsi" w:hAnsiTheme="minorHAnsi" w:cstheme="minorHAnsi"/>
                <w:szCs w:val="22"/>
              </w:rPr>
              <w:t>,</w:t>
            </w:r>
            <w:r w:rsidR="002F26C0">
              <w:rPr>
                <w:rFonts w:asciiTheme="minorHAnsi" w:hAnsiTheme="minorHAnsi" w:cstheme="minorHAnsi"/>
                <w:szCs w:val="22"/>
              </w:rPr>
              <w:t xml:space="preserve"> </w:t>
            </w:r>
            <w:r w:rsidR="000B332A">
              <w:rPr>
                <w:rFonts w:asciiTheme="minorHAnsi" w:hAnsiTheme="minorHAnsi" w:cstheme="minorHAnsi"/>
                <w:szCs w:val="22"/>
              </w:rPr>
              <w:t xml:space="preserve">corporate social responsibility </w:t>
            </w:r>
            <w:r w:rsidR="00F07E5C">
              <w:rPr>
                <w:rFonts w:asciiTheme="minorHAnsi" w:hAnsiTheme="minorHAnsi" w:cstheme="minorHAnsi"/>
                <w:szCs w:val="22"/>
              </w:rPr>
              <w:t xml:space="preserve">and procedural compliance are </w:t>
            </w:r>
            <w:r w:rsidR="00E31495">
              <w:rPr>
                <w:rFonts w:asciiTheme="minorHAnsi" w:hAnsiTheme="minorHAnsi" w:cstheme="minorHAnsi"/>
                <w:szCs w:val="22"/>
              </w:rPr>
              <w:t>flagged by</w:t>
            </w:r>
            <w:r>
              <w:rPr>
                <w:rFonts w:asciiTheme="minorHAnsi" w:hAnsiTheme="minorHAnsi" w:cstheme="minorHAnsi"/>
                <w:szCs w:val="22"/>
              </w:rPr>
              <w:t xml:space="preserve"> local communities</w:t>
            </w:r>
            <w:r w:rsidR="00F07E5C">
              <w:rPr>
                <w:rFonts w:asciiTheme="minorHAnsi" w:hAnsiTheme="minorHAnsi" w:cstheme="minorHAnsi"/>
                <w:szCs w:val="22"/>
              </w:rPr>
              <w:t xml:space="preserve"> </w:t>
            </w:r>
            <w:r w:rsidR="008D7D17">
              <w:rPr>
                <w:rFonts w:asciiTheme="minorHAnsi" w:hAnsiTheme="minorHAnsi" w:cstheme="minorHAnsi"/>
                <w:szCs w:val="22"/>
              </w:rPr>
              <w:t xml:space="preserve">as inadequate </w:t>
            </w:r>
            <w:r w:rsidR="00562F80">
              <w:rPr>
                <w:rFonts w:asciiTheme="minorHAnsi" w:hAnsiTheme="minorHAnsi" w:cstheme="minorHAnsi"/>
                <w:szCs w:val="22"/>
              </w:rPr>
              <w:t>because the</w:t>
            </w:r>
            <w:r w:rsidR="00DE54E1">
              <w:rPr>
                <w:rFonts w:asciiTheme="minorHAnsi" w:hAnsiTheme="minorHAnsi" w:cstheme="minorHAnsi"/>
                <w:szCs w:val="22"/>
              </w:rPr>
              <w:t>y rely largely on voluntary corporate commitments rather than enforceable obligations to affected communities</w:t>
            </w:r>
            <w:r w:rsidR="008D7D17">
              <w:rPr>
                <w:rFonts w:asciiTheme="minorHAnsi" w:hAnsiTheme="minorHAnsi" w:cstheme="minorHAnsi"/>
                <w:szCs w:val="22"/>
              </w:rPr>
              <w:t>.</w:t>
            </w:r>
          </w:p>
          <w:p w14:paraId="76D3C06E" w14:textId="0E14336A" w:rsidR="006859B9" w:rsidRPr="00383BCD" w:rsidRDefault="00006D80" w:rsidP="00B07CE8">
            <w:pPr>
              <w:pStyle w:val="ListParagraph"/>
              <w:numPr>
                <w:ilvl w:val="0"/>
                <w:numId w:val="5"/>
              </w:numPr>
              <w:snapToGrid w:val="0"/>
              <w:spacing w:after="60"/>
              <w:ind w:right="181"/>
              <w:contextualSpacing w:val="0"/>
              <w:rPr>
                <w:rFonts w:asciiTheme="minorHAnsi" w:hAnsiTheme="minorHAnsi" w:cstheme="minorHAnsi"/>
                <w:i/>
                <w:color w:val="800080"/>
              </w:rPr>
            </w:pPr>
            <w:r>
              <w:rPr>
                <w:rFonts w:asciiTheme="minorHAnsi" w:hAnsiTheme="minorHAnsi" w:cstheme="minorHAnsi"/>
                <w:szCs w:val="22"/>
              </w:rPr>
              <w:t xml:space="preserve">Supporting </w:t>
            </w:r>
            <w:r w:rsidR="008D7D17">
              <w:rPr>
                <w:rFonts w:asciiTheme="minorHAnsi" w:hAnsiTheme="minorHAnsi" w:cstheme="minorHAnsi"/>
                <w:szCs w:val="22"/>
              </w:rPr>
              <w:t>c</w:t>
            </w:r>
            <w:r w:rsidR="008D7D17" w:rsidRPr="00A54DD3">
              <w:rPr>
                <w:rFonts w:asciiTheme="minorHAnsi" w:hAnsiTheme="minorHAnsi" w:cstheme="minorHAnsi"/>
                <w:szCs w:val="22"/>
              </w:rPr>
              <w:t>ommunity</w:t>
            </w:r>
            <w:r w:rsidR="008D7D17">
              <w:rPr>
                <w:rFonts w:asciiTheme="minorHAnsi" w:hAnsiTheme="minorHAnsi" w:cstheme="minorHAnsi"/>
                <w:szCs w:val="22"/>
              </w:rPr>
              <w:t>-</w:t>
            </w:r>
            <w:r w:rsidR="00836F4B" w:rsidRPr="00A54DD3">
              <w:rPr>
                <w:rFonts w:asciiTheme="minorHAnsi" w:hAnsiTheme="minorHAnsi" w:cstheme="minorHAnsi"/>
                <w:szCs w:val="22"/>
              </w:rPr>
              <w:t>led governance</w:t>
            </w:r>
            <w:r w:rsidR="00575AFE" w:rsidRPr="00A54DD3">
              <w:rPr>
                <w:rFonts w:asciiTheme="minorHAnsi" w:hAnsiTheme="minorHAnsi" w:cstheme="minorHAnsi"/>
                <w:szCs w:val="22"/>
              </w:rPr>
              <w:t xml:space="preserve"> </w:t>
            </w:r>
            <w:r w:rsidR="009A07D5" w:rsidRPr="00A54DD3">
              <w:rPr>
                <w:rFonts w:asciiTheme="minorHAnsi" w:hAnsiTheme="minorHAnsi" w:cstheme="minorHAnsi"/>
                <w:szCs w:val="22"/>
              </w:rPr>
              <w:t xml:space="preserve">offers </w:t>
            </w:r>
            <w:r w:rsidR="00575AFE" w:rsidRPr="00A54DD3">
              <w:rPr>
                <w:rFonts w:asciiTheme="minorHAnsi" w:hAnsiTheme="minorHAnsi" w:cstheme="minorHAnsi"/>
                <w:szCs w:val="22"/>
              </w:rPr>
              <w:t xml:space="preserve">a practical </w:t>
            </w:r>
            <w:r w:rsidR="009A07D5" w:rsidRPr="00A54DD3">
              <w:rPr>
                <w:rFonts w:asciiTheme="minorHAnsi" w:hAnsiTheme="minorHAnsi" w:cstheme="minorHAnsi"/>
                <w:szCs w:val="22"/>
              </w:rPr>
              <w:t>path</w:t>
            </w:r>
            <w:r w:rsidR="00575AFE" w:rsidRPr="00A54DD3">
              <w:rPr>
                <w:rFonts w:asciiTheme="minorHAnsi" w:hAnsiTheme="minorHAnsi" w:cstheme="minorHAnsi"/>
                <w:szCs w:val="22"/>
              </w:rPr>
              <w:t>way to improve development outcomes</w:t>
            </w:r>
            <w:r w:rsidR="009A07D5" w:rsidRPr="00A54DD3">
              <w:rPr>
                <w:rFonts w:asciiTheme="minorHAnsi" w:hAnsiTheme="minorHAnsi" w:cstheme="minorHAnsi"/>
                <w:szCs w:val="22"/>
              </w:rPr>
              <w:t xml:space="preserve"> </w:t>
            </w:r>
            <w:r w:rsidR="005015D5" w:rsidRPr="005015D5">
              <w:rPr>
                <w:rFonts w:asciiTheme="minorHAnsi" w:hAnsiTheme="minorHAnsi" w:cstheme="minorHAnsi"/>
                <w:szCs w:val="22"/>
              </w:rPr>
              <w:t>by returning authority over land</w:t>
            </w:r>
            <w:r w:rsidR="009A4C0B">
              <w:rPr>
                <w:rFonts w:asciiTheme="minorHAnsi" w:hAnsiTheme="minorHAnsi" w:cstheme="minorHAnsi"/>
                <w:szCs w:val="22"/>
              </w:rPr>
              <w:t>,</w:t>
            </w:r>
            <w:r w:rsidR="005015D5" w:rsidRPr="005015D5">
              <w:rPr>
                <w:rFonts w:asciiTheme="minorHAnsi" w:hAnsiTheme="minorHAnsi" w:cstheme="minorHAnsi"/>
                <w:szCs w:val="22"/>
              </w:rPr>
              <w:t xml:space="preserve"> decisions and accountability to affected communities</w:t>
            </w:r>
            <w:r w:rsidR="001139EA">
              <w:rPr>
                <w:rFonts w:asciiTheme="minorHAnsi" w:hAnsiTheme="minorHAnsi" w:cstheme="minorHAnsi"/>
                <w:szCs w:val="22"/>
              </w:rPr>
              <w:t>.</w:t>
            </w:r>
          </w:p>
        </w:tc>
      </w:tr>
    </w:tbl>
    <w:p w14:paraId="3E92E921" w14:textId="77777777" w:rsidR="006859B9" w:rsidRDefault="006859B9" w:rsidP="00CF05B4">
      <w:pPr>
        <w:ind w:left="2160"/>
        <w:rPr>
          <w:i/>
          <w:color w:val="800080"/>
        </w:rPr>
      </w:pPr>
    </w:p>
    <w:p w14:paraId="37F934A6" w14:textId="256B9F4C" w:rsidR="00CF05B4" w:rsidRDefault="006859B9" w:rsidP="00CF05B4">
      <w:pPr>
        <w:rPr>
          <w:i/>
          <w:color w:val="800080"/>
        </w:rPr>
      </w:pPr>
      <w:r>
        <w:rPr>
          <w:i/>
          <w:noProof/>
          <w:color w:val="800080"/>
        </w:rPr>
        <mc:AlternateContent>
          <mc:Choice Requires="wps">
            <w:drawing>
              <wp:anchor distT="0" distB="0" distL="114300" distR="114300" simplePos="0" relativeHeight="251635712" behindDoc="0" locked="0" layoutInCell="1" allowOverlap="1" wp14:anchorId="78881D20" wp14:editId="00DB8701">
                <wp:simplePos x="0" y="0"/>
                <wp:positionH relativeFrom="margin">
                  <wp:align>left</wp:align>
                </wp:positionH>
                <wp:positionV relativeFrom="paragraph">
                  <wp:posOffset>6349</wp:posOffset>
                </wp:positionV>
                <wp:extent cx="5848350" cy="9525"/>
                <wp:effectExtent l="0" t="0" r="19050" b="28575"/>
                <wp:wrapNone/>
                <wp:docPr id="171758330" name="Straight Connector 2"/>
                <wp:cNvGraphicFramePr/>
                <a:graphic xmlns:a="http://schemas.openxmlformats.org/drawingml/2006/main">
                  <a:graphicData uri="http://schemas.microsoft.com/office/word/2010/wordprocessingShape">
                    <wps:wsp>
                      <wps:cNvCnPr/>
                      <wps:spPr>
                        <a:xfrm flipV="1">
                          <a:off x="0" y="0"/>
                          <a:ext cx="584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9666B" id="Straight Connector 2" o:spid="_x0000_s1026" style="position:absolute;flip:y;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4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" strokecolor="black [3040]">
                <w10:wrap anchorx="margin"/>
              </v:line>
            </w:pict>
          </mc:Fallback>
        </mc:AlternateContent>
      </w:r>
    </w:p>
    <w:p w14:paraId="6574200D" w14:textId="77777777" w:rsidR="00831C12" w:rsidRDefault="00831C12" w:rsidP="00CF05B4">
      <w:pPr>
        <w:pStyle w:val="BulletPoints"/>
        <w:numPr>
          <w:ilvl w:val="0"/>
          <w:numId w:val="0"/>
        </w:numPr>
        <w:jc w:val="left"/>
        <w:rPr>
          <w:b/>
        </w:rPr>
        <w:sectPr w:rsidR="00831C12" w:rsidSect="00AA704D">
          <w:type w:val="continuous"/>
          <w:pgSz w:w="11907" w:h="16840" w:code="9"/>
          <w:pgMar w:top="1418" w:right="1418" w:bottom="1276" w:left="1418" w:header="135" w:footer="397" w:gutter="0"/>
          <w:pgNumType w:start="1"/>
          <w:cols w:space="720"/>
          <w:formProt w:val="0"/>
          <w:titlePg/>
          <w:docGrid w:linePitch="299"/>
        </w:sectPr>
      </w:pPr>
    </w:p>
    <w:tbl>
      <w:tblPr>
        <w:tblW w:w="5103" w:type="dxa"/>
        <w:tblLayout w:type="fixed"/>
        <w:tblLook w:val="0000" w:firstRow="0" w:lastRow="0" w:firstColumn="0" w:lastColumn="0" w:noHBand="0" w:noVBand="0"/>
      </w:tblPr>
      <w:tblGrid>
        <w:gridCol w:w="5103"/>
      </w:tblGrid>
      <w:tr w:rsidR="006344A5" w14:paraId="37F934B3" w14:textId="77777777" w:rsidTr="00831C12">
        <w:trPr>
          <w:trHeight w:val="80"/>
        </w:trPr>
        <w:tc>
          <w:tcPr>
            <w:tcW w:w="5103" w:type="dxa"/>
          </w:tcPr>
          <w:p w14:paraId="4C814E41" w14:textId="413A3404" w:rsidR="00711941" w:rsidRPr="00C9688A" w:rsidRDefault="00AB17C1"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t>Development Challenge</w:t>
            </w:r>
            <w:r w:rsidR="0001606C" w:rsidRPr="00C9688A">
              <w:rPr>
                <w:rFonts w:asciiTheme="minorHAnsi" w:hAnsiTheme="minorHAnsi" w:cstheme="minorHAnsi"/>
                <w:color w:val="864EA8" w:themeColor="accent1" w:themeShade="BF"/>
                <w:sz w:val="24"/>
                <w:szCs w:val="24"/>
              </w:rPr>
              <w:t>s</w:t>
            </w:r>
            <w:r w:rsidRPr="00C9688A">
              <w:rPr>
                <w:rFonts w:asciiTheme="minorHAnsi" w:hAnsiTheme="minorHAnsi" w:cstheme="minorHAnsi"/>
                <w:color w:val="864EA8" w:themeColor="accent1" w:themeShade="BF"/>
                <w:sz w:val="24"/>
                <w:szCs w:val="24"/>
              </w:rPr>
              <w:t xml:space="preserve"> in Turkana</w:t>
            </w:r>
            <w:r w:rsidR="0001606C" w:rsidRPr="00C9688A">
              <w:rPr>
                <w:rFonts w:asciiTheme="minorHAnsi" w:hAnsiTheme="minorHAnsi" w:cstheme="minorHAnsi"/>
                <w:color w:val="864EA8" w:themeColor="accent1" w:themeShade="BF"/>
                <w:sz w:val="24"/>
                <w:szCs w:val="24"/>
              </w:rPr>
              <w:t>, Kenya</w:t>
            </w:r>
          </w:p>
          <w:p w14:paraId="4C80539B" w14:textId="0528B9DA" w:rsidR="00CB2F7F" w:rsidRDefault="004C068D" w:rsidP="00C765D0">
            <w:pPr>
              <w:jc w:val="both"/>
              <w:rPr>
                <w:rFonts w:asciiTheme="minorHAnsi" w:hAnsiTheme="minorHAnsi" w:cstheme="minorHAnsi"/>
                <w:iCs/>
                <w:szCs w:val="22"/>
                <w:lang w:bidi="ar-DZ"/>
              </w:rPr>
            </w:pPr>
            <w:r w:rsidRPr="00AA2591">
              <w:rPr>
                <w:rFonts w:asciiTheme="minorHAnsi" w:hAnsiTheme="minorHAnsi" w:cstheme="minorHAnsi"/>
                <w:iCs/>
                <w:szCs w:val="22"/>
                <w:lang w:bidi="ar-DZ"/>
              </w:rPr>
              <w:t xml:space="preserve">Oil </w:t>
            </w:r>
            <w:r w:rsidR="00C44952">
              <w:rPr>
                <w:rFonts w:asciiTheme="minorHAnsi" w:hAnsiTheme="minorHAnsi" w:cstheme="minorHAnsi"/>
                <w:iCs/>
                <w:szCs w:val="22"/>
                <w:lang w:bidi="ar-DZ"/>
              </w:rPr>
              <w:t>was discovered</w:t>
            </w:r>
            <w:r w:rsidRPr="00AA2591">
              <w:rPr>
                <w:rFonts w:asciiTheme="minorHAnsi" w:hAnsiTheme="minorHAnsi" w:cstheme="minorHAnsi"/>
                <w:iCs/>
                <w:szCs w:val="22"/>
                <w:lang w:bidi="ar-DZ"/>
              </w:rPr>
              <w:t xml:space="preserve"> </w:t>
            </w:r>
            <w:r>
              <w:rPr>
                <w:rFonts w:asciiTheme="minorHAnsi" w:hAnsiTheme="minorHAnsi" w:cstheme="minorHAnsi"/>
                <w:iCs/>
                <w:szCs w:val="22"/>
                <w:lang w:bidi="ar-DZ"/>
              </w:rPr>
              <w:t>in Kenya’s Turkana County in 2012</w:t>
            </w:r>
            <w:r w:rsidR="00CB0CDD">
              <w:rPr>
                <w:rFonts w:asciiTheme="minorHAnsi" w:hAnsiTheme="minorHAnsi" w:cstheme="minorHAnsi"/>
                <w:iCs/>
                <w:szCs w:val="22"/>
                <w:lang w:bidi="ar-DZ"/>
              </w:rPr>
              <w:t xml:space="preserve"> and </w:t>
            </w:r>
            <w:r w:rsidRPr="00AA2591">
              <w:rPr>
                <w:rFonts w:asciiTheme="minorHAnsi" w:hAnsiTheme="minorHAnsi" w:cstheme="minorHAnsi"/>
                <w:iCs/>
                <w:szCs w:val="22"/>
                <w:lang w:bidi="ar-DZ"/>
              </w:rPr>
              <w:t xml:space="preserve">was widely presented as a transformative </w:t>
            </w:r>
            <w:r>
              <w:rPr>
                <w:rFonts w:asciiTheme="minorHAnsi" w:hAnsiTheme="minorHAnsi" w:cstheme="minorHAnsi"/>
                <w:iCs/>
                <w:szCs w:val="22"/>
                <w:lang w:bidi="ar-DZ"/>
              </w:rPr>
              <w:t xml:space="preserve">long-term </w:t>
            </w:r>
            <w:r w:rsidRPr="00AA2591">
              <w:rPr>
                <w:rFonts w:asciiTheme="minorHAnsi" w:hAnsiTheme="minorHAnsi" w:cstheme="minorHAnsi"/>
                <w:iCs/>
                <w:szCs w:val="22"/>
                <w:lang w:bidi="ar-DZ"/>
              </w:rPr>
              <w:t>development opportunity</w:t>
            </w:r>
            <w:r w:rsidR="00B81325">
              <w:rPr>
                <w:rFonts w:asciiTheme="minorHAnsi" w:hAnsiTheme="minorHAnsi" w:cstheme="minorHAnsi"/>
                <w:iCs/>
                <w:szCs w:val="22"/>
                <w:lang w:bidi="ar-DZ"/>
              </w:rPr>
              <w:t>,</w:t>
            </w:r>
            <w:r w:rsidRPr="00AA2591">
              <w:rPr>
                <w:rFonts w:asciiTheme="minorHAnsi" w:hAnsiTheme="minorHAnsi" w:cstheme="minorHAnsi"/>
                <w:iCs/>
                <w:szCs w:val="22"/>
                <w:lang w:bidi="ar-DZ"/>
              </w:rPr>
              <w:t xml:space="preserve"> with promises of poverty reduction, improved services</w:t>
            </w:r>
            <w:r w:rsidR="009376D7">
              <w:rPr>
                <w:rFonts w:asciiTheme="minorHAnsi" w:hAnsiTheme="minorHAnsi" w:cstheme="minorHAnsi"/>
                <w:iCs/>
                <w:szCs w:val="22"/>
                <w:lang w:bidi="ar-DZ"/>
              </w:rPr>
              <w:t>,</w:t>
            </w:r>
            <w:r w:rsidRPr="00AA2591">
              <w:rPr>
                <w:rFonts w:asciiTheme="minorHAnsi" w:hAnsiTheme="minorHAnsi" w:cstheme="minorHAnsi"/>
                <w:iCs/>
                <w:szCs w:val="22"/>
                <w:lang w:bidi="ar-DZ"/>
              </w:rPr>
              <w:t xml:space="preserve"> infrastructure,</w:t>
            </w:r>
            <w:r>
              <w:rPr>
                <w:rFonts w:asciiTheme="minorHAnsi" w:hAnsiTheme="minorHAnsi" w:cstheme="minorHAnsi"/>
                <w:iCs/>
                <w:szCs w:val="22"/>
                <w:lang w:bidi="ar-DZ"/>
              </w:rPr>
              <w:t xml:space="preserve"> as well as</w:t>
            </w:r>
            <w:r w:rsidRPr="00AA2591">
              <w:rPr>
                <w:rFonts w:asciiTheme="minorHAnsi" w:hAnsiTheme="minorHAnsi" w:cstheme="minorHAnsi"/>
                <w:iCs/>
                <w:szCs w:val="22"/>
                <w:lang w:bidi="ar-DZ"/>
              </w:rPr>
              <w:t xml:space="preserve"> employment </w:t>
            </w:r>
            <w:r>
              <w:rPr>
                <w:rFonts w:asciiTheme="minorHAnsi" w:hAnsiTheme="minorHAnsi" w:cstheme="minorHAnsi"/>
                <w:iCs/>
                <w:szCs w:val="22"/>
                <w:lang w:bidi="ar-DZ"/>
              </w:rPr>
              <w:t>for</w:t>
            </w:r>
            <w:r w:rsidRPr="00AA2591">
              <w:rPr>
                <w:rFonts w:asciiTheme="minorHAnsi" w:hAnsiTheme="minorHAnsi" w:cstheme="minorHAnsi"/>
                <w:iCs/>
                <w:szCs w:val="22"/>
                <w:lang w:bidi="ar-DZ"/>
              </w:rPr>
              <w:t xml:space="preserve"> local youth </w:t>
            </w:r>
            <w:r w:rsidRPr="00AA2591">
              <w:rPr>
                <w:rFonts w:asciiTheme="minorHAnsi" w:hAnsiTheme="minorHAnsi" w:cstheme="minorHAnsi"/>
                <w:iCs/>
                <w:szCs w:val="22"/>
              </w:rPr>
              <w:fldChar w:fldCharType="begin"/>
            </w:r>
            <w:r w:rsidR="006C208C">
              <w:rPr>
                <w:rFonts w:asciiTheme="minorHAnsi" w:hAnsiTheme="minorHAnsi" w:cstheme="minorHAnsi"/>
                <w:iCs/>
                <w:szCs w:val="22"/>
              </w:rPr>
              <w:instrText xml:space="preserve"> ADDIN ZOTERO_ITEM CSL_CITATION {"citationID":"ykTZxzh2","properties":{"formattedCitation":"(Schubiger, 2025)","plainCitation":"(Schubiger, 2025)","noteIndex":0},"citationItems":[{"id":1061,"uris":["http://zotero.org/users/11681747/items/SV7MVW5S"],"itemData":{"id":1061,"type":"article-journal","abstract":"Turkana, in northern Kenya, has experienced an unsteady flow of development interventions. Development projects vary greatly in orientation – from health to infrastructure, agriculture to civic education – and by the implementing agents. Recently, oil companies have assumed the role of development agents, collaborating with the government on infrastructure development and corporate social responsibility initiatives. However, far from the promises made, projects are replete with delays, circularity, and abrupt standstills. In my case study, I will elaborate concrete promises lingering indefinitely, creating an interim state that eventually becomes an intransient ghost project: a ‘development limbo’. Rather than focusing on the clash of visions between different stakeholders or the repurposing of projects over time, this article will explore the gaps between the promises of transformative change and its truncated, uncertain delivery. Through the ‘ghosts’ of Project Oil Kenya, I will examine how, among local stakeholders, the promises of oil-driven development create a state of in-betweenness. This encompasses legacies of past interventions that may or may not be revived and imaginations and aspirations regarding those yet to come. By focusing on the notion of development limbo, I will assert the reappropriation of the remains of the pending Project Oil Kenya in Turkana’s extraction sites.","container-title":"Third World Quarterly","DOI":"10.1080/01436597.2024.2444324","ISSN":"0143-6597, 1360-2241","journalAbbreviation":"Third World Quarterly","language":"en","page":"1-18","source":"DOI.org (Crossref)","title":"Turkana’s extractive promises in limbo","author":[{"family":"Schubiger","given":"Elisabeth"}],"issued":{"date-parts":[["2025",1,10]]}}}],"schema":"https://github.com/citation-style-language/schema/raw/master/csl-citation.json"} </w:instrText>
            </w:r>
            <w:r w:rsidRPr="00AA2591">
              <w:rPr>
                <w:rFonts w:asciiTheme="minorHAnsi" w:hAnsiTheme="minorHAnsi" w:cstheme="minorHAnsi"/>
                <w:iCs/>
                <w:szCs w:val="22"/>
              </w:rPr>
              <w:fldChar w:fldCharType="separate"/>
            </w:r>
            <w:r w:rsidR="006C208C" w:rsidRPr="006C208C">
              <w:t>(</w:t>
            </w:r>
            <w:r w:rsidR="006C208C" w:rsidRPr="00CB7201">
              <w:rPr>
                <w:rFonts w:ascii="Calibri" w:hAnsi="Calibri"/>
              </w:rPr>
              <w:t>Schubiger</w:t>
            </w:r>
            <w:r w:rsidR="006C208C" w:rsidRPr="006C208C">
              <w:t xml:space="preserve">, </w:t>
            </w:r>
            <w:r w:rsidR="006C208C" w:rsidRPr="000E416D">
              <w:rPr>
                <w:rFonts w:asciiTheme="minorHAnsi" w:hAnsiTheme="minorHAnsi" w:cstheme="minorHAnsi"/>
              </w:rPr>
              <w:t>2025)</w:t>
            </w:r>
            <w:r w:rsidRPr="00AA2591">
              <w:rPr>
                <w:rFonts w:asciiTheme="minorHAnsi" w:hAnsiTheme="minorHAnsi" w:cstheme="minorHAnsi"/>
                <w:iCs/>
                <w:szCs w:val="22"/>
              </w:rPr>
              <w:fldChar w:fldCharType="end"/>
            </w:r>
            <w:r w:rsidR="0001606C">
              <w:rPr>
                <w:rFonts w:asciiTheme="minorHAnsi" w:hAnsiTheme="minorHAnsi" w:cstheme="minorHAnsi"/>
                <w:iCs/>
                <w:szCs w:val="22"/>
              </w:rPr>
              <w:t>. However,</w:t>
            </w:r>
            <w:r w:rsidR="00B91A16">
              <w:rPr>
                <w:rFonts w:asciiTheme="minorHAnsi" w:hAnsiTheme="minorHAnsi" w:cstheme="minorHAnsi"/>
                <w:iCs/>
                <w:szCs w:val="22"/>
              </w:rPr>
              <w:t xml:space="preserve"> </w:t>
            </w:r>
            <w:r>
              <w:rPr>
                <w:rFonts w:asciiTheme="minorHAnsi" w:hAnsiTheme="minorHAnsi" w:cstheme="minorHAnsi"/>
                <w:iCs/>
                <w:szCs w:val="22"/>
                <w:lang w:bidi="ar-DZ"/>
              </w:rPr>
              <w:t>s</w:t>
            </w:r>
            <w:r w:rsidR="000B61F8">
              <w:rPr>
                <w:rFonts w:asciiTheme="minorHAnsi" w:hAnsiTheme="minorHAnsi" w:cstheme="minorHAnsi"/>
                <w:iCs/>
                <w:szCs w:val="22"/>
                <w:lang w:bidi="ar-DZ"/>
              </w:rPr>
              <w:t>hy of 15</w:t>
            </w:r>
            <w:r w:rsidR="007B4594" w:rsidRPr="002628A7">
              <w:rPr>
                <w:rFonts w:asciiTheme="minorHAnsi" w:hAnsiTheme="minorHAnsi" w:cstheme="minorHAnsi"/>
                <w:iCs/>
                <w:szCs w:val="22"/>
                <w:lang w:bidi="ar-DZ"/>
              </w:rPr>
              <w:t xml:space="preserve"> yea</w:t>
            </w:r>
            <w:r w:rsidR="00B041C9" w:rsidRPr="002628A7">
              <w:rPr>
                <w:rFonts w:asciiTheme="minorHAnsi" w:hAnsiTheme="minorHAnsi" w:cstheme="minorHAnsi"/>
                <w:iCs/>
                <w:szCs w:val="22"/>
                <w:lang w:bidi="ar-DZ"/>
              </w:rPr>
              <w:t xml:space="preserve">rs </w:t>
            </w:r>
            <w:r>
              <w:rPr>
                <w:rFonts w:asciiTheme="minorHAnsi" w:hAnsiTheme="minorHAnsi" w:cstheme="minorHAnsi"/>
                <w:iCs/>
                <w:szCs w:val="22"/>
                <w:lang w:bidi="ar-DZ"/>
              </w:rPr>
              <w:t>later,</w:t>
            </w:r>
            <w:r w:rsidR="00604C6B" w:rsidRPr="002628A7">
              <w:rPr>
                <w:rFonts w:asciiTheme="minorHAnsi" w:hAnsiTheme="minorHAnsi" w:cstheme="minorHAnsi"/>
                <w:iCs/>
                <w:szCs w:val="22"/>
                <w:lang w:bidi="ar-DZ"/>
              </w:rPr>
              <w:t xml:space="preserve"> </w:t>
            </w:r>
            <w:r w:rsidRPr="00CA1438">
              <w:rPr>
                <w:rFonts w:asciiTheme="minorHAnsi" w:hAnsiTheme="minorHAnsi" w:cstheme="minorHAnsi"/>
                <w:iCs/>
                <w:szCs w:val="22"/>
                <w:lang w:bidi="ar-DZ"/>
              </w:rPr>
              <w:t xml:space="preserve">development </w:t>
            </w:r>
            <w:r>
              <w:rPr>
                <w:rFonts w:asciiTheme="minorHAnsi" w:hAnsiTheme="minorHAnsi" w:cstheme="minorHAnsi"/>
                <w:iCs/>
                <w:szCs w:val="22"/>
                <w:lang w:bidi="ar-DZ"/>
              </w:rPr>
              <w:t xml:space="preserve">outcomes in </w:t>
            </w:r>
            <w:r w:rsidR="00D90129" w:rsidRPr="002628A7">
              <w:rPr>
                <w:rFonts w:asciiTheme="minorHAnsi" w:hAnsiTheme="minorHAnsi" w:cstheme="minorHAnsi"/>
                <w:iCs/>
                <w:szCs w:val="22"/>
                <w:lang w:bidi="ar-DZ"/>
              </w:rPr>
              <w:t>Turkana County</w:t>
            </w:r>
            <w:r>
              <w:rPr>
                <w:rFonts w:asciiTheme="minorHAnsi" w:hAnsiTheme="minorHAnsi" w:cstheme="minorHAnsi"/>
                <w:iCs/>
                <w:szCs w:val="22"/>
                <w:lang w:bidi="ar-DZ"/>
              </w:rPr>
              <w:t xml:space="preserve"> are disappointing. </w:t>
            </w:r>
            <w:r w:rsidR="006B3AEB" w:rsidRPr="002628A7">
              <w:rPr>
                <w:rFonts w:asciiTheme="minorHAnsi" w:hAnsiTheme="minorHAnsi" w:cstheme="minorHAnsi"/>
                <w:iCs/>
                <w:szCs w:val="22"/>
                <w:lang w:bidi="ar-DZ"/>
              </w:rPr>
              <w:t xml:space="preserve"> </w:t>
            </w:r>
          </w:p>
          <w:p w14:paraId="404821C0" w14:textId="4C4A560B" w:rsidR="00A94349" w:rsidRPr="000E416D" w:rsidRDefault="006B3AEB" w:rsidP="00AC554A">
            <w:pPr>
              <w:ind w:firstLine="340"/>
              <w:jc w:val="both"/>
              <w:rPr>
                <w:rFonts w:ascii="Calibri" w:hAnsi="Calibri" w:cs="Calibri"/>
                <w:iCs/>
                <w:szCs w:val="22"/>
                <w:lang w:bidi="ar-DZ"/>
              </w:rPr>
            </w:pPr>
            <w:r w:rsidRPr="002628A7">
              <w:rPr>
                <w:rFonts w:asciiTheme="minorHAnsi" w:hAnsiTheme="minorHAnsi" w:cstheme="minorHAnsi"/>
                <w:iCs/>
                <w:szCs w:val="22"/>
                <w:lang w:bidi="ar-DZ"/>
              </w:rPr>
              <w:t>Turkana</w:t>
            </w:r>
            <w:r w:rsidR="00D90129" w:rsidRPr="002628A7">
              <w:rPr>
                <w:rFonts w:asciiTheme="minorHAnsi" w:hAnsiTheme="minorHAnsi" w:cstheme="minorHAnsi"/>
                <w:iCs/>
                <w:szCs w:val="22"/>
                <w:lang w:bidi="ar-DZ"/>
              </w:rPr>
              <w:t xml:space="preserve"> </w:t>
            </w:r>
            <w:r w:rsidR="004C068D">
              <w:rPr>
                <w:rFonts w:asciiTheme="minorHAnsi" w:hAnsiTheme="minorHAnsi" w:cstheme="minorHAnsi"/>
                <w:iCs/>
                <w:szCs w:val="22"/>
                <w:lang w:bidi="ar-DZ"/>
              </w:rPr>
              <w:t>remains</w:t>
            </w:r>
            <w:r w:rsidR="004C068D" w:rsidRPr="002628A7">
              <w:rPr>
                <w:rFonts w:asciiTheme="minorHAnsi" w:hAnsiTheme="minorHAnsi" w:cstheme="minorHAnsi"/>
                <w:iCs/>
                <w:szCs w:val="22"/>
                <w:lang w:bidi="ar-DZ"/>
              </w:rPr>
              <w:t xml:space="preserve"> </w:t>
            </w:r>
            <w:r w:rsidR="00D90129" w:rsidRPr="002628A7">
              <w:rPr>
                <w:rFonts w:asciiTheme="minorHAnsi" w:hAnsiTheme="minorHAnsi" w:cstheme="minorHAnsi"/>
                <w:iCs/>
                <w:szCs w:val="22"/>
                <w:lang w:bidi="ar-DZ"/>
              </w:rPr>
              <w:t>one of Kenya’s most marginalised regions</w:t>
            </w:r>
            <w:r w:rsidR="0001606C">
              <w:rPr>
                <w:rFonts w:asciiTheme="minorHAnsi" w:hAnsiTheme="minorHAnsi" w:cstheme="minorHAnsi"/>
                <w:iCs/>
                <w:szCs w:val="22"/>
                <w:lang w:bidi="ar-DZ"/>
              </w:rPr>
              <w:t>.</w:t>
            </w:r>
            <w:r w:rsidR="00855786">
              <w:rPr>
                <w:rFonts w:asciiTheme="minorHAnsi" w:hAnsiTheme="minorHAnsi" w:cstheme="minorHAnsi"/>
                <w:iCs/>
                <w:szCs w:val="22"/>
                <w:lang w:bidi="ar-DZ"/>
              </w:rPr>
              <w:t xml:space="preserve"> Approximately</w:t>
            </w:r>
            <w:r w:rsidR="000B61F8">
              <w:rPr>
                <w:rFonts w:asciiTheme="minorHAnsi" w:hAnsiTheme="minorHAnsi" w:cstheme="minorHAnsi"/>
                <w:iCs/>
                <w:szCs w:val="22"/>
                <w:lang w:bidi="ar-DZ"/>
              </w:rPr>
              <w:t xml:space="preserve"> </w:t>
            </w:r>
            <w:r w:rsidR="00D90129" w:rsidRPr="002628A7">
              <w:rPr>
                <w:rFonts w:asciiTheme="minorHAnsi" w:hAnsiTheme="minorHAnsi" w:cstheme="minorHAnsi"/>
                <w:iCs/>
                <w:szCs w:val="22"/>
                <w:lang w:bidi="ar-DZ"/>
              </w:rPr>
              <w:t>7</w:t>
            </w:r>
            <w:r w:rsidR="008365BB">
              <w:rPr>
                <w:rFonts w:asciiTheme="minorHAnsi" w:hAnsiTheme="minorHAnsi" w:cstheme="minorHAnsi"/>
                <w:iCs/>
                <w:szCs w:val="22"/>
                <w:lang w:bidi="ar-DZ"/>
              </w:rPr>
              <w:t>8</w:t>
            </w:r>
            <w:r w:rsidR="00D90129" w:rsidRPr="002628A7">
              <w:rPr>
                <w:rFonts w:asciiTheme="minorHAnsi" w:hAnsiTheme="minorHAnsi" w:cstheme="minorHAnsi"/>
                <w:iCs/>
                <w:szCs w:val="22"/>
                <w:lang w:bidi="ar-DZ"/>
              </w:rPr>
              <w:t xml:space="preserve">% of the population </w:t>
            </w:r>
            <w:r w:rsidR="004C068D">
              <w:rPr>
                <w:rFonts w:asciiTheme="minorHAnsi" w:hAnsiTheme="minorHAnsi" w:cstheme="minorHAnsi"/>
                <w:iCs/>
                <w:szCs w:val="22"/>
                <w:lang w:bidi="ar-DZ"/>
              </w:rPr>
              <w:t>live</w:t>
            </w:r>
            <w:r w:rsidR="00207546">
              <w:rPr>
                <w:rFonts w:asciiTheme="minorHAnsi" w:hAnsiTheme="minorHAnsi" w:cstheme="minorHAnsi"/>
                <w:iCs/>
                <w:szCs w:val="22"/>
                <w:lang w:bidi="ar-DZ"/>
              </w:rPr>
              <w:t>s</w:t>
            </w:r>
            <w:r w:rsidR="004C068D">
              <w:rPr>
                <w:rFonts w:asciiTheme="minorHAnsi" w:hAnsiTheme="minorHAnsi" w:cstheme="minorHAnsi"/>
                <w:iCs/>
                <w:szCs w:val="22"/>
                <w:lang w:bidi="ar-DZ"/>
              </w:rPr>
              <w:t xml:space="preserve"> </w:t>
            </w:r>
            <w:r w:rsidR="00D90129" w:rsidRPr="002628A7">
              <w:rPr>
                <w:rFonts w:asciiTheme="minorHAnsi" w:hAnsiTheme="minorHAnsi" w:cstheme="minorHAnsi"/>
                <w:iCs/>
                <w:szCs w:val="22"/>
                <w:lang w:bidi="ar-DZ"/>
              </w:rPr>
              <w:t>below the poverty line</w:t>
            </w:r>
            <w:r w:rsidR="008D7D17">
              <w:rPr>
                <w:rFonts w:asciiTheme="minorHAnsi" w:hAnsiTheme="minorHAnsi" w:cstheme="minorHAnsi"/>
                <w:iCs/>
                <w:szCs w:val="22"/>
                <w:lang w:bidi="ar-DZ"/>
              </w:rPr>
              <w:t>,</w:t>
            </w:r>
            <w:r w:rsidR="00D90129" w:rsidRPr="002628A7">
              <w:rPr>
                <w:rFonts w:asciiTheme="minorHAnsi" w:hAnsiTheme="minorHAnsi" w:cstheme="minorHAnsi"/>
                <w:iCs/>
                <w:szCs w:val="22"/>
                <w:lang w:bidi="ar-DZ"/>
              </w:rPr>
              <w:t xml:space="preserve"> and many households lack reliable access to water, health services, schools</w:t>
            </w:r>
            <w:r w:rsidR="00E37514">
              <w:rPr>
                <w:rFonts w:asciiTheme="minorHAnsi" w:hAnsiTheme="minorHAnsi" w:cstheme="minorHAnsi"/>
                <w:iCs/>
                <w:szCs w:val="22"/>
                <w:lang w:bidi="ar-DZ"/>
              </w:rPr>
              <w:t xml:space="preserve"> and</w:t>
            </w:r>
            <w:r w:rsidR="00D90129" w:rsidRPr="002628A7">
              <w:rPr>
                <w:rFonts w:asciiTheme="minorHAnsi" w:hAnsiTheme="minorHAnsi" w:cstheme="minorHAnsi"/>
                <w:iCs/>
                <w:szCs w:val="22"/>
                <w:lang w:bidi="ar-DZ"/>
              </w:rPr>
              <w:t xml:space="preserve"> </w:t>
            </w:r>
            <w:r w:rsidR="004F4B3E">
              <w:rPr>
                <w:rFonts w:asciiTheme="minorHAnsi" w:hAnsiTheme="minorHAnsi" w:cstheme="minorHAnsi"/>
                <w:iCs/>
                <w:szCs w:val="22"/>
                <w:lang w:bidi="ar-DZ"/>
              </w:rPr>
              <w:t xml:space="preserve">basic </w:t>
            </w:r>
            <w:r w:rsidR="00D90129" w:rsidRPr="002628A7">
              <w:rPr>
                <w:rFonts w:asciiTheme="minorHAnsi" w:hAnsiTheme="minorHAnsi" w:cstheme="minorHAnsi"/>
                <w:iCs/>
                <w:szCs w:val="22"/>
                <w:lang w:bidi="ar-DZ"/>
              </w:rPr>
              <w:t xml:space="preserve">infrastructure </w:t>
            </w:r>
            <w:r w:rsidR="0057665A" w:rsidRPr="002628A7">
              <w:rPr>
                <w:rFonts w:asciiTheme="minorHAnsi" w:hAnsiTheme="minorHAnsi" w:cstheme="minorHAnsi"/>
                <w:iCs/>
                <w:szCs w:val="22"/>
                <w:lang w:bidi="ar-DZ"/>
              </w:rPr>
              <w:t>(</w:t>
            </w:r>
            <w:r w:rsidR="00D90129" w:rsidRPr="002628A7">
              <w:rPr>
                <w:rFonts w:asciiTheme="minorHAnsi" w:hAnsiTheme="minorHAnsi" w:cstheme="minorHAnsi"/>
                <w:iCs/>
                <w:szCs w:val="22"/>
                <w:lang w:bidi="ar-DZ"/>
              </w:rPr>
              <w:t>K</w:t>
            </w:r>
            <w:r w:rsidR="00E41886" w:rsidRPr="002628A7">
              <w:rPr>
                <w:rFonts w:asciiTheme="minorHAnsi" w:hAnsiTheme="minorHAnsi" w:cstheme="minorHAnsi"/>
                <w:iCs/>
                <w:szCs w:val="22"/>
                <w:lang w:bidi="ar-DZ"/>
              </w:rPr>
              <w:t xml:space="preserve">enya </w:t>
            </w:r>
            <w:r w:rsidR="00D90129" w:rsidRPr="002628A7">
              <w:rPr>
                <w:rFonts w:asciiTheme="minorHAnsi" w:hAnsiTheme="minorHAnsi" w:cstheme="minorHAnsi"/>
                <w:iCs/>
                <w:szCs w:val="22"/>
                <w:lang w:bidi="ar-DZ"/>
              </w:rPr>
              <w:t>N</w:t>
            </w:r>
            <w:r w:rsidR="00B41A55" w:rsidRPr="002628A7">
              <w:rPr>
                <w:rFonts w:asciiTheme="minorHAnsi" w:hAnsiTheme="minorHAnsi" w:cstheme="minorHAnsi"/>
                <w:iCs/>
                <w:szCs w:val="22"/>
                <w:lang w:bidi="ar-DZ"/>
              </w:rPr>
              <w:t xml:space="preserve">ational </w:t>
            </w:r>
            <w:r w:rsidR="00D90129" w:rsidRPr="002628A7">
              <w:rPr>
                <w:rFonts w:asciiTheme="minorHAnsi" w:hAnsiTheme="minorHAnsi" w:cstheme="minorHAnsi"/>
                <w:iCs/>
                <w:szCs w:val="22"/>
                <w:lang w:bidi="ar-DZ"/>
              </w:rPr>
              <w:t>B</w:t>
            </w:r>
            <w:r w:rsidR="00B41A55" w:rsidRPr="002628A7">
              <w:rPr>
                <w:rFonts w:asciiTheme="minorHAnsi" w:hAnsiTheme="minorHAnsi" w:cstheme="minorHAnsi"/>
                <w:iCs/>
                <w:szCs w:val="22"/>
                <w:lang w:bidi="ar-DZ"/>
              </w:rPr>
              <w:t xml:space="preserve">ureau of </w:t>
            </w:r>
            <w:r w:rsidR="00D90129" w:rsidRPr="002628A7">
              <w:rPr>
                <w:rFonts w:asciiTheme="minorHAnsi" w:hAnsiTheme="minorHAnsi" w:cstheme="minorHAnsi"/>
                <w:iCs/>
                <w:szCs w:val="22"/>
                <w:lang w:bidi="ar-DZ"/>
              </w:rPr>
              <w:t>S</w:t>
            </w:r>
            <w:r w:rsidR="00B41A55" w:rsidRPr="002628A7">
              <w:rPr>
                <w:rFonts w:asciiTheme="minorHAnsi" w:hAnsiTheme="minorHAnsi" w:cstheme="minorHAnsi"/>
                <w:iCs/>
                <w:szCs w:val="22"/>
                <w:lang w:bidi="ar-DZ"/>
              </w:rPr>
              <w:t>tatistics</w:t>
            </w:r>
            <w:r w:rsidR="00D90129" w:rsidRPr="002628A7">
              <w:rPr>
                <w:rFonts w:asciiTheme="minorHAnsi" w:hAnsiTheme="minorHAnsi" w:cstheme="minorHAnsi"/>
                <w:iCs/>
                <w:szCs w:val="22"/>
                <w:lang w:bidi="ar-DZ"/>
              </w:rPr>
              <w:t>, 2021</w:t>
            </w:r>
            <w:r w:rsidR="00B41A55" w:rsidRPr="002628A7">
              <w:rPr>
                <w:rFonts w:asciiTheme="minorHAnsi" w:hAnsiTheme="minorHAnsi" w:cstheme="minorHAnsi"/>
                <w:iCs/>
                <w:szCs w:val="22"/>
                <w:lang w:bidi="ar-DZ"/>
              </w:rPr>
              <w:t>)</w:t>
            </w:r>
            <w:r w:rsidR="00D90129" w:rsidRPr="002628A7">
              <w:rPr>
                <w:rFonts w:asciiTheme="minorHAnsi" w:hAnsiTheme="minorHAnsi" w:cstheme="minorHAnsi"/>
                <w:iCs/>
                <w:szCs w:val="22"/>
                <w:lang w:bidi="ar-DZ"/>
              </w:rPr>
              <w:t xml:space="preserve">. </w:t>
            </w:r>
            <w:r w:rsidR="00A123B0">
              <w:rPr>
                <w:rFonts w:asciiTheme="minorHAnsi" w:hAnsiTheme="minorHAnsi" w:cstheme="minorHAnsi"/>
                <w:iCs/>
                <w:szCs w:val="22"/>
                <w:lang w:bidi="ar-DZ"/>
              </w:rPr>
              <w:t>T</w:t>
            </w:r>
            <w:r w:rsidR="00D90129" w:rsidRPr="002628A7">
              <w:rPr>
                <w:rFonts w:asciiTheme="minorHAnsi" w:hAnsiTheme="minorHAnsi" w:cstheme="minorHAnsi"/>
                <w:iCs/>
                <w:szCs w:val="22"/>
                <w:lang w:bidi="ar-DZ"/>
              </w:rPr>
              <w:t xml:space="preserve">he </w:t>
            </w:r>
            <w:r w:rsidR="0010619C" w:rsidRPr="002628A7">
              <w:rPr>
                <w:rFonts w:asciiTheme="minorHAnsi" w:hAnsiTheme="minorHAnsi" w:cstheme="minorHAnsi"/>
                <w:iCs/>
                <w:szCs w:val="22"/>
                <w:lang w:bidi="ar-DZ"/>
              </w:rPr>
              <w:t>C</w:t>
            </w:r>
            <w:r w:rsidR="00D90129" w:rsidRPr="002628A7">
              <w:rPr>
                <w:rFonts w:asciiTheme="minorHAnsi" w:hAnsiTheme="minorHAnsi" w:cstheme="minorHAnsi"/>
                <w:iCs/>
                <w:szCs w:val="22"/>
                <w:lang w:bidi="ar-DZ"/>
              </w:rPr>
              <w:t xml:space="preserve">ounty is </w:t>
            </w:r>
            <w:r w:rsidR="00B93BAD">
              <w:rPr>
                <w:rFonts w:asciiTheme="minorHAnsi" w:hAnsiTheme="minorHAnsi" w:cstheme="minorHAnsi"/>
                <w:iCs/>
                <w:szCs w:val="22"/>
                <w:lang w:bidi="ar-DZ"/>
              </w:rPr>
              <w:t>predominantly pastoral</w:t>
            </w:r>
            <w:r w:rsidR="006B2D3C">
              <w:rPr>
                <w:rFonts w:asciiTheme="minorHAnsi" w:hAnsiTheme="minorHAnsi" w:cstheme="minorHAnsi"/>
                <w:iCs/>
                <w:szCs w:val="22"/>
                <w:lang w:bidi="ar-DZ"/>
              </w:rPr>
              <w:t xml:space="preserve"> and </w:t>
            </w:r>
            <w:r w:rsidR="00D90129" w:rsidRPr="002628A7">
              <w:rPr>
                <w:rFonts w:asciiTheme="minorHAnsi" w:hAnsiTheme="minorHAnsi" w:cstheme="minorHAnsi"/>
                <w:iCs/>
                <w:szCs w:val="22"/>
                <w:lang w:bidi="ar-DZ"/>
              </w:rPr>
              <w:t>highly climate vulnerable</w:t>
            </w:r>
            <w:r w:rsidR="008D7D17">
              <w:rPr>
                <w:rFonts w:asciiTheme="minorHAnsi" w:hAnsiTheme="minorHAnsi" w:cstheme="minorHAnsi"/>
                <w:iCs/>
                <w:szCs w:val="22"/>
                <w:lang w:bidi="ar-DZ"/>
              </w:rPr>
              <w:t>,</w:t>
            </w:r>
            <w:r w:rsidR="004E2ED9">
              <w:rPr>
                <w:rFonts w:asciiTheme="minorHAnsi" w:hAnsiTheme="minorHAnsi" w:cstheme="minorHAnsi"/>
                <w:iCs/>
                <w:szCs w:val="22"/>
                <w:lang w:bidi="ar-DZ"/>
              </w:rPr>
              <w:t xml:space="preserve"> </w:t>
            </w:r>
            <w:r w:rsidR="008B65FA">
              <w:rPr>
                <w:rFonts w:asciiTheme="minorHAnsi" w:hAnsiTheme="minorHAnsi" w:cstheme="minorHAnsi"/>
                <w:iCs/>
                <w:szCs w:val="22"/>
                <w:lang w:bidi="ar-DZ"/>
              </w:rPr>
              <w:t>with communit</w:t>
            </w:r>
            <w:r w:rsidR="00A4417F">
              <w:rPr>
                <w:rFonts w:asciiTheme="minorHAnsi" w:hAnsiTheme="minorHAnsi" w:cstheme="minorHAnsi"/>
                <w:iCs/>
                <w:szCs w:val="22"/>
                <w:lang w:bidi="ar-DZ"/>
              </w:rPr>
              <w:t xml:space="preserve">ies dependent </w:t>
            </w:r>
            <w:r w:rsidR="00C760C0">
              <w:rPr>
                <w:rFonts w:asciiTheme="minorHAnsi" w:hAnsiTheme="minorHAnsi" w:cstheme="minorHAnsi"/>
                <w:iCs/>
                <w:szCs w:val="22"/>
                <w:lang w:bidi="ar-DZ"/>
              </w:rPr>
              <w:t>on communal land for grazing, water and survival</w:t>
            </w:r>
            <w:r w:rsidR="00AC2723">
              <w:rPr>
                <w:rFonts w:asciiTheme="minorHAnsi" w:hAnsiTheme="minorHAnsi" w:cstheme="minorHAnsi"/>
                <w:iCs/>
                <w:szCs w:val="22"/>
                <w:lang w:bidi="ar-DZ"/>
              </w:rPr>
              <w:t xml:space="preserve">. </w:t>
            </w:r>
            <w:r w:rsidR="00A87EC8">
              <w:rPr>
                <w:rFonts w:asciiTheme="minorHAnsi" w:hAnsiTheme="minorHAnsi" w:cstheme="minorHAnsi"/>
                <w:iCs/>
                <w:szCs w:val="22"/>
                <w:lang w:bidi="ar-DZ"/>
              </w:rPr>
              <w:t>C</w:t>
            </w:r>
            <w:r w:rsidR="00AC2723">
              <w:rPr>
                <w:rFonts w:asciiTheme="minorHAnsi" w:hAnsiTheme="minorHAnsi" w:cstheme="minorHAnsi"/>
                <w:iCs/>
                <w:szCs w:val="22"/>
                <w:lang w:bidi="ar-DZ"/>
              </w:rPr>
              <w:t>ompetition</w:t>
            </w:r>
            <w:r w:rsidR="00A87EC8">
              <w:rPr>
                <w:rFonts w:asciiTheme="minorHAnsi" w:hAnsiTheme="minorHAnsi" w:cstheme="minorHAnsi"/>
                <w:iCs/>
                <w:szCs w:val="22"/>
                <w:lang w:bidi="ar-DZ"/>
              </w:rPr>
              <w:t xml:space="preserve"> over</w:t>
            </w:r>
            <w:r w:rsidR="008B65FA" w:rsidRPr="008B65FA">
              <w:rPr>
                <w:rFonts w:asciiTheme="minorHAnsi" w:hAnsiTheme="minorHAnsi" w:cstheme="minorHAnsi"/>
                <w:iCs/>
                <w:szCs w:val="22"/>
                <w:lang w:bidi="ar-DZ"/>
              </w:rPr>
              <w:t xml:space="preserve"> land and water</w:t>
            </w:r>
            <w:r w:rsidR="00722D0C">
              <w:rPr>
                <w:rFonts w:asciiTheme="minorHAnsi" w:hAnsiTheme="minorHAnsi" w:cstheme="minorHAnsi"/>
                <w:iCs/>
                <w:szCs w:val="22"/>
                <w:lang w:bidi="ar-DZ"/>
              </w:rPr>
              <w:t xml:space="preserve"> </w:t>
            </w:r>
            <w:r w:rsidR="00B422C7">
              <w:rPr>
                <w:rFonts w:asciiTheme="minorHAnsi" w:hAnsiTheme="minorHAnsi" w:cstheme="minorHAnsi"/>
                <w:iCs/>
                <w:szCs w:val="22"/>
                <w:lang w:bidi="ar-DZ"/>
              </w:rPr>
              <w:t xml:space="preserve">already </w:t>
            </w:r>
            <w:r w:rsidR="00B422C7">
              <w:rPr>
                <w:rFonts w:asciiTheme="minorHAnsi" w:hAnsiTheme="minorHAnsi" w:cstheme="minorHAnsi"/>
                <w:iCs/>
                <w:szCs w:val="22"/>
                <w:lang w:bidi="ar-DZ"/>
              </w:rPr>
              <w:t xml:space="preserve">contributes to </w:t>
            </w:r>
            <w:r w:rsidR="00722D0C">
              <w:rPr>
                <w:rFonts w:asciiTheme="minorHAnsi" w:hAnsiTheme="minorHAnsi" w:cstheme="minorHAnsi"/>
                <w:iCs/>
                <w:szCs w:val="22"/>
                <w:lang w:bidi="ar-DZ"/>
              </w:rPr>
              <w:t xml:space="preserve">tensions within and between neighbouring </w:t>
            </w:r>
            <w:r w:rsidR="002B4728" w:rsidRPr="008B65FA">
              <w:rPr>
                <w:rFonts w:asciiTheme="minorHAnsi" w:hAnsiTheme="minorHAnsi" w:cstheme="minorHAnsi"/>
                <w:iCs/>
                <w:szCs w:val="22"/>
                <w:lang w:bidi="ar-DZ"/>
              </w:rPr>
              <w:t>communities</w:t>
            </w:r>
            <w:r w:rsidR="002B4728">
              <w:rPr>
                <w:rFonts w:asciiTheme="minorHAnsi" w:hAnsiTheme="minorHAnsi" w:cstheme="minorHAnsi"/>
                <w:iCs/>
                <w:szCs w:val="22"/>
                <w:lang w:bidi="ar-DZ"/>
              </w:rPr>
              <w:t xml:space="preserve"> </w:t>
            </w:r>
            <w:r w:rsidR="00031454" w:rsidRPr="000E416D">
              <w:rPr>
                <w:rFonts w:ascii="Calibri" w:hAnsi="Calibri" w:cs="Calibri"/>
                <w:iCs/>
                <w:szCs w:val="22"/>
                <w:lang w:bidi="ar-DZ"/>
              </w:rPr>
              <w:fldChar w:fldCharType="begin"/>
            </w:r>
            <w:r w:rsidR="00F32762">
              <w:rPr>
                <w:rFonts w:ascii="Calibri" w:hAnsi="Calibri" w:cs="Calibri"/>
                <w:iCs/>
                <w:szCs w:val="22"/>
                <w:lang w:bidi="ar-DZ"/>
              </w:rPr>
              <w:instrText xml:space="preserve"> ADDIN ZOTERO_ITEM CSL_CITATION {"citationID":"JHeZ8Pk0","properties":{"formattedCitation":"(Mkutu &amp; Mdee, 2020; Schubiger, 2025)","plainCitation":"(Mkutu &amp; Mdee, 2020; Schubiger, 2025)","dontUpdate":true,"noteIndex":0},"citationItems":[{"id":1245,"uris":["http://zotero.org/users/11681747/items/D7B6J4CW"],"itemData":{"id":1245,"type":"article-journal","abstract":"Formerly marginal areas are increasingly the focus of extractive megaprojects, which are framed as necessary for economic growth and a modern industrial economy. Yet there are concerns that such projects are unjustly displacing local populations, facilitated through the alliances of local elites with foreign investors. This article asks, who are the winners and losers from oil exploration in the Turkana region of Kenya? Using longitudinal ethnographic research on the dynamics of local government, oil exploration, and pastoralist livelihoods in Turkana, Mkutu and Mdee highlight how current processes may exacerbate inequality and marginalization, with the potential for increasingly violent consequences.","container-title":"African Studies Review","DOI":"10.1017/asr.2020.2","ISSN":"0002-0206, 1555-2462","issue":"4","journalAbbreviation":"Afr. Stud. Rev.","language":"en","license":"https://www.cambridge.org/core/terms","page":"831-857","publisher":"Cambridge University Press (CUP)","source":"Crossref","title":"Conservancies, Conflict and Dispossession: The Winners and Losers of Oil Exploration in Turkana, Kenya","title-short":"Conservancies, Conflict and Dispossession","volume":"63","author":[{"family":"Mkutu","given":"Kennedy"},{"family":"Mdee","given":"Anna"}],"issued":{"date-parts":[["2020",12]]}}},{"id":1061,"uris":["http://zotero.org/users/11681747/items/SV7MVW5S"],"itemData":{"id":1061,"type":"article-journal","abstract":"Turkana, in northern Kenya, has experienced an unsteady flow of development interventions. Development projects vary greatly in orientation – from health to infrastructure, agriculture to civic education – and by the implementing agents. Recently, oil companies have assumed the role of development agents, collaborating with the government on infrastructure development and corporate social responsibility initiatives. However, far from the promises made, projects are replete with delays, circularity, and abrupt standstills. In my case study, I will elaborate concrete promises lingering indefinitely, creating an interim state that eventually becomes an intransient ghost project: a ‘development limbo’. Rather than focusing on the clash of visions between different stakeholders or the repurposing of projects over time, this article will explore the gaps between the promises of transformative change and its truncated, uncertain delivery. Through the ‘ghosts’ of Project Oil Kenya, I will examine how, among local stakeholders, the promises of oil-driven development create a state of in-betweenness. This encompasses legacies of past interventions that may or may not be revived and imaginations and aspirations regarding those yet to come. By focusing on the notion of development limbo, I will assert the reappropriation of the remains of the pending Project Oil Kenya in Turkana’s extraction sites.","container-title":"Third World Quarterly","DOI":"10.1080/01436597.2024.2444324","ISSN":"0143-6597, 1360-2241","journalAbbreviation":"Third World Quarterly","language":"en","page":"1-18","source":"DOI.org (Crossref)","title":"Turkana’s extractive promises in limbo","author":[{"family":"Schubiger","given":"Elisabeth"}],"issued":{"date-parts":[["2025",1,10]]}}}],"schema":"https://github.com/citation-style-language/schema/raw/master/csl-citation.json"} </w:instrText>
            </w:r>
            <w:r w:rsidR="00031454" w:rsidRPr="000E416D">
              <w:rPr>
                <w:rFonts w:ascii="Calibri" w:hAnsi="Calibri" w:cs="Calibri"/>
                <w:iCs/>
                <w:szCs w:val="22"/>
                <w:lang w:bidi="ar-DZ"/>
              </w:rPr>
              <w:fldChar w:fldCharType="separate"/>
            </w:r>
            <w:r w:rsidR="006C208C" w:rsidRPr="000E416D">
              <w:rPr>
                <w:rFonts w:ascii="Calibri" w:hAnsi="Calibri" w:cs="Calibri"/>
              </w:rPr>
              <w:t>(</w:t>
            </w:r>
            <w:proofErr w:type="spellStart"/>
            <w:r w:rsidR="006C208C" w:rsidRPr="000E416D">
              <w:rPr>
                <w:rFonts w:ascii="Calibri" w:hAnsi="Calibri" w:cs="Calibri"/>
              </w:rPr>
              <w:t>Schubiger</w:t>
            </w:r>
            <w:proofErr w:type="spellEnd"/>
            <w:r w:rsidR="006C208C" w:rsidRPr="000E416D">
              <w:rPr>
                <w:rFonts w:ascii="Calibri" w:hAnsi="Calibri" w:cs="Calibri"/>
              </w:rPr>
              <w:t>, 2025)</w:t>
            </w:r>
            <w:r w:rsidR="00031454" w:rsidRPr="000E416D">
              <w:rPr>
                <w:rFonts w:ascii="Calibri" w:hAnsi="Calibri" w:cs="Calibri"/>
                <w:iCs/>
                <w:szCs w:val="22"/>
                <w:lang w:bidi="ar-DZ"/>
              </w:rPr>
              <w:fldChar w:fldCharType="end"/>
            </w:r>
            <w:r w:rsidR="00D90129" w:rsidRPr="000E416D">
              <w:rPr>
                <w:rFonts w:ascii="Calibri" w:hAnsi="Calibri" w:cs="Calibri"/>
                <w:iCs/>
                <w:szCs w:val="22"/>
                <w:lang w:bidi="ar-DZ"/>
              </w:rPr>
              <w:t xml:space="preserve">. </w:t>
            </w:r>
          </w:p>
          <w:p w14:paraId="1A14273A" w14:textId="36FC43CE" w:rsidR="00652C64" w:rsidRPr="00652C64" w:rsidRDefault="00E30EC8" w:rsidP="00AC554A">
            <w:pPr>
              <w:ind w:firstLine="340"/>
              <w:jc w:val="both"/>
              <w:rPr>
                <w:rFonts w:asciiTheme="minorHAnsi" w:hAnsiTheme="minorHAnsi" w:cstheme="minorHAnsi"/>
                <w:iCs/>
                <w:szCs w:val="22"/>
                <w:lang w:bidi="ar-DZ"/>
              </w:rPr>
            </w:pPr>
            <w:r>
              <w:rPr>
                <w:rFonts w:asciiTheme="minorHAnsi" w:hAnsiTheme="minorHAnsi" w:cstheme="minorHAnsi"/>
                <w:iCs/>
                <w:szCs w:val="22"/>
                <w:lang w:bidi="ar-DZ"/>
              </w:rPr>
              <w:t xml:space="preserve">The </w:t>
            </w:r>
            <w:r w:rsidR="00FE330F">
              <w:rPr>
                <w:rFonts w:asciiTheme="minorHAnsi" w:hAnsiTheme="minorHAnsi" w:cstheme="minorHAnsi"/>
                <w:iCs/>
                <w:szCs w:val="22"/>
                <w:lang w:bidi="ar-DZ"/>
              </w:rPr>
              <w:t>central development challe</w:t>
            </w:r>
            <w:r w:rsidR="003E565D">
              <w:rPr>
                <w:rFonts w:asciiTheme="minorHAnsi" w:hAnsiTheme="minorHAnsi" w:cstheme="minorHAnsi"/>
                <w:iCs/>
                <w:szCs w:val="22"/>
                <w:lang w:bidi="ar-DZ"/>
              </w:rPr>
              <w:t xml:space="preserve">nge in Turkana is not </w:t>
            </w:r>
            <w:r w:rsidR="00033196">
              <w:rPr>
                <w:rFonts w:asciiTheme="minorHAnsi" w:hAnsiTheme="minorHAnsi" w:cstheme="minorHAnsi"/>
                <w:iCs/>
                <w:szCs w:val="22"/>
                <w:lang w:bidi="ar-DZ"/>
              </w:rPr>
              <w:t>only</w:t>
            </w:r>
            <w:r w:rsidR="003E565D">
              <w:rPr>
                <w:rFonts w:asciiTheme="minorHAnsi" w:hAnsiTheme="minorHAnsi" w:cstheme="minorHAnsi"/>
                <w:iCs/>
                <w:szCs w:val="22"/>
                <w:lang w:bidi="ar-DZ"/>
              </w:rPr>
              <w:t xml:space="preserve"> poverty but </w:t>
            </w:r>
            <w:r w:rsidR="00033196">
              <w:rPr>
                <w:rFonts w:asciiTheme="minorHAnsi" w:hAnsiTheme="minorHAnsi" w:cstheme="minorHAnsi"/>
                <w:iCs/>
                <w:szCs w:val="22"/>
                <w:lang w:bidi="ar-DZ"/>
              </w:rPr>
              <w:t xml:space="preserve">the </w:t>
            </w:r>
            <w:r w:rsidR="003E565D">
              <w:rPr>
                <w:rFonts w:asciiTheme="minorHAnsi" w:hAnsiTheme="minorHAnsi" w:cstheme="minorHAnsi"/>
                <w:iCs/>
                <w:szCs w:val="22"/>
                <w:lang w:bidi="ar-DZ"/>
              </w:rPr>
              <w:t>increasing pressure on community land</w:t>
            </w:r>
            <w:r w:rsidR="008013F4">
              <w:rPr>
                <w:rFonts w:asciiTheme="minorHAnsi" w:hAnsiTheme="minorHAnsi" w:cstheme="minorHAnsi"/>
                <w:iCs/>
                <w:szCs w:val="22"/>
                <w:lang w:bidi="ar-DZ"/>
              </w:rPr>
              <w:t xml:space="preserve">. </w:t>
            </w:r>
            <w:r w:rsidR="001E4B4F" w:rsidRPr="001E4B4F">
              <w:rPr>
                <w:rFonts w:asciiTheme="minorHAnsi" w:hAnsiTheme="minorHAnsi" w:cstheme="minorHAnsi"/>
                <w:iCs/>
                <w:szCs w:val="22"/>
                <w:lang w:bidi="ar-DZ"/>
              </w:rPr>
              <w:t>For pastoral communities, land is not only an economic asset but the foundation of social organi</w:t>
            </w:r>
            <w:r w:rsidR="008D7D17">
              <w:rPr>
                <w:rFonts w:asciiTheme="minorHAnsi" w:hAnsiTheme="minorHAnsi" w:cstheme="minorHAnsi"/>
                <w:iCs/>
                <w:szCs w:val="22"/>
                <w:lang w:bidi="ar-DZ"/>
              </w:rPr>
              <w:t>s</w:t>
            </w:r>
            <w:r w:rsidR="001E4B4F" w:rsidRPr="001E4B4F">
              <w:rPr>
                <w:rFonts w:asciiTheme="minorHAnsi" w:hAnsiTheme="minorHAnsi" w:cstheme="minorHAnsi"/>
                <w:iCs/>
                <w:szCs w:val="22"/>
                <w:lang w:bidi="ar-DZ"/>
              </w:rPr>
              <w:t>ation, cultural identity, and long-term surviv</w:t>
            </w:r>
            <w:r w:rsidR="001E4B4F" w:rsidRPr="0040187E">
              <w:rPr>
                <w:rFonts w:asciiTheme="minorHAnsi" w:hAnsiTheme="minorHAnsi" w:cstheme="minorHAnsi"/>
                <w:iCs/>
                <w:szCs w:val="22"/>
                <w:lang w:bidi="ar-DZ"/>
              </w:rPr>
              <w:t>al</w:t>
            </w:r>
            <w:r w:rsidR="0040187E" w:rsidRPr="0040187E">
              <w:rPr>
                <w:rFonts w:asciiTheme="minorHAnsi" w:hAnsiTheme="minorHAnsi" w:cstheme="minorHAnsi"/>
                <w:iCs/>
                <w:szCs w:val="22"/>
                <w:lang w:bidi="ar-DZ"/>
              </w:rPr>
              <w:t xml:space="preserve"> </w:t>
            </w:r>
            <w:r w:rsidR="0040187E" w:rsidRPr="0040187E">
              <w:rPr>
                <w:rFonts w:asciiTheme="minorHAnsi" w:hAnsiTheme="minorHAnsi" w:cstheme="minorHAnsi"/>
                <w:iCs/>
                <w:szCs w:val="22"/>
                <w:lang w:bidi="ar-DZ"/>
              </w:rPr>
              <w:fldChar w:fldCharType="begin"/>
            </w:r>
            <w:r w:rsidR="0040187E" w:rsidRPr="0040187E">
              <w:rPr>
                <w:rFonts w:asciiTheme="minorHAnsi" w:hAnsiTheme="minorHAnsi" w:cstheme="minorHAnsi"/>
                <w:iCs/>
                <w:szCs w:val="22"/>
                <w:lang w:bidi="ar-DZ"/>
              </w:rPr>
              <w:instrText xml:space="preserve"> ADDIN ZOTERO_ITEM CSL_CITATION {"citationID":"1OidIGIq","properties":{"unsorted":false,"formattedCitation":"(IWGIA, 2017)","plainCitation":"(IWGIA, 2017)","noteIndex":0},"citationItems":[{"id":202,"uris":["http://zotero.org/users/11681747/items/Y9IZTR2F"],"itemData":{"id":202,"type":"report","ISBN":"978-87-92786-76-0","language":"en","note":"OCLC: 1000178049","publisher":"IWGIA ; African Commission on Human and Peoples' Rights","publisher-place":"Copenhagen, Banjul","source":"Open WorldCat","title":"Extractive industries, land rights and indigenous populations', communities' rights: East, Central and Southern Africa = Industries extractives, droits fonciers et droits des populations, communautés autochtones","title-short":"Extractive industries, land rights and indigenous populations', communities' rights","author":[{"family":"IWGIA","given":""}],"issued":{"date-parts":[["2017"]]}}}],"schema":"https://github.com/citation-style-language/schema/raw/master/csl-citation.json"} </w:instrText>
            </w:r>
            <w:r w:rsidR="0040187E" w:rsidRPr="0040187E">
              <w:rPr>
                <w:rFonts w:asciiTheme="minorHAnsi" w:hAnsiTheme="minorHAnsi" w:cstheme="minorHAnsi"/>
                <w:iCs/>
                <w:szCs w:val="22"/>
                <w:lang w:bidi="ar-DZ"/>
              </w:rPr>
              <w:fldChar w:fldCharType="separate"/>
            </w:r>
            <w:r w:rsidR="0040187E" w:rsidRPr="0040187E">
              <w:rPr>
                <w:rFonts w:asciiTheme="minorHAnsi" w:hAnsiTheme="minorHAnsi" w:cstheme="minorHAnsi"/>
              </w:rPr>
              <w:t>(IWGIA, 2017)</w:t>
            </w:r>
            <w:r w:rsidR="0040187E" w:rsidRPr="0040187E">
              <w:rPr>
                <w:rFonts w:asciiTheme="minorHAnsi" w:hAnsiTheme="minorHAnsi" w:cstheme="minorHAnsi"/>
                <w:iCs/>
                <w:szCs w:val="22"/>
                <w:lang w:bidi="ar-DZ"/>
              </w:rPr>
              <w:fldChar w:fldCharType="end"/>
            </w:r>
            <w:r w:rsidR="0057053D" w:rsidRPr="0057053D">
              <w:rPr>
                <w:rFonts w:asciiTheme="minorHAnsi" w:hAnsiTheme="minorHAnsi" w:cstheme="minorHAnsi"/>
                <w:iCs/>
                <w:szCs w:val="22"/>
                <w:lang w:bidi="ar-DZ"/>
              </w:rPr>
              <w:t xml:space="preserve">. </w:t>
            </w:r>
            <w:r w:rsidR="00FA694D">
              <w:rPr>
                <w:rFonts w:asciiTheme="minorHAnsi" w:hAnsiTheme="minorHAnsi" w:cstheme="minorHAnsi"/>
                <w:iCs/>
                <w:szCs w:val="22"/>
                <w:lang w:bidi="ar-DZ"/>
              </w:rPr>
              <w:t xml:space="preserve">Since the </w:t>
            </w:r>
            <w:r w:rsidR="00CD4E4B">
              <w:rPr>
                <w:rFonts w:asciiTheme="minorHAnsi" w:hAnsiTheme="minorHAnsi" w:cstheme="minorHAnsi"/>
                <w:iCs/>
                <w:szCs w:val="22"/>
                <w:lang w:bidi="ar-DZ"/>
              </w:rPr>
              <w:t xml:space="preserve">discovery of oil </w:t>
            </w:r>
            <w:r w:rsidR="00115D9A">
              <w:rPr>
                <w:rFonts w:asciiTheme="minorHAnsi" w:hAnsiTheme="minorHAnsi" w:cstheme="minorHAnsi"/>
                <w:iCs/>
                <w:szCs w:val="22"/>
                <w:lang w:bidi="ar-DZ"/>
              </w:rPr>
              <w:t>in 2012</w:t>
            </w:r>
            <w:r w:rsidR="006E11C2">
              <w:rPr>
                <w:rFonts w:asciiTheme="minorHAnsi" w:hAnsiTheme="minorHAnsi" w:cstheme="minorHAnsi"/>
                <w:iCs/>
                <w:szCs w:val="22"/>
                <w:lang w:bidi="ar-DZ"/>
              </w:rPr>
              <w:t xml:space="preserve">, extractive </w:t>
            </w:r>
            <w:r w:rsidR="00694B74">
              <w:rPr>
                <w:rFonts w:asciiTheme="minorHAnsi" w:hAnsiTheme="minorHAnsi" w:cstheme="minorHAnsi"/>
                <w:iCs/>
                <w:szCs w:val="22"/>
                <w:lang w:bidi="ar-DZ"/>
              </w:rPr>
              <w:t xml:space="preserve">activities </w:t>
            </w:r>
            <w:r w:rsidR="005E7A6E">
              <w:rPr>
                <w:rFonts w:asciiTheme="minorHAnsi" w:hAnsiTheme="minorHAnsi" w:cstheme="minorHAnsi"/>
                <w:iCs/>
                <w:szCs w:val="22"/>
                <w:lang w:bidi="ar-DZ"/>
              </w:rPr>
              <w:t xml:space="preserve">in Turkana </w:t>
            </w:r>
            <w:r w:rsidR="006E11C2">
              <w:rPr>
                <w:rFonts w:asciiTheme="minorHAnsi" w:hAnsiTheme="minorHAnsi" w:cstheme="minorHAnsi"/>
                <w:iCs/>
                <w:szCs w:val="22"/>
                <w:lang w:bidi="ar-DZ"/>
              </w:rPr>
              <w:t xml:space="preserve">have </w:t>
            </w:r>
            <w:r w:rsidR="00694B74">
              <w:rPr>
                <w:rFonts w:asciiTheme="minorHAnsi" w:hAnsiTheme="minorHAnsi" w:cstheme="minorHAnsi"/>
                <w:iCs/>
                <w:szCs w:val="22"/>
                <w:lang w:bidi="ar-DZ"/>
              </w:rPr>
              <w:t>expand</w:t>
            </w:r>
            <w:r w:rsidR="006E11C2">
              <w:rPr>
                <w:rFonts w:asciiTheme="minorHAnsi" w:hAnsiTheme="minorHAnsi" w:cstheme="minorHAnsi"/>
                <w:iCs/>
                <w:szCs w:val="22"/>
                <w:lang w:bidi="ar-DZ"/>
              </w:rPr>
              <w:t>ed</w:t>
            </w:r>
            <w:r w:rsidR="00694B74">
              <w:rPr>
                <w:rFonts w:asciiTheme="minorHAnsi" w:hAnsiTheme="minorHAnsi" w:cstheme="minorHAnsi"/>
                <w:iCs/>
                <w:szCs w:val="22"/>
                <w:lang w:bidi="ar-DZ"/>
              </w:rPr>
              <w:t xml:space="preserve"> alongside </w:t>
            </w:r>
            <w:r w:rsidR="008D3E59">
              <w:rPr>
                <w:rFonts w:asciiTheme="minorHAnsi" w:hAnsiTheme="minorHAnsi" w:cstheme="minorHAnsi"/>
                <w:iCs/>
                <w:szCs w:val="22"/>
                <w:lang w:bidi="ar-DZ"/>
              </w:rPr>
              <w:t xml:space="preserve">major </w:t>
            </w:r>
            <w:r w:rsidR="00694B74">
              <w:rPr>
                <w:rFonts w:asciiTheme="minorHAnsi" w:hAnsiTheme="minorHAnsi" w:cstheme="minorHAnsi"/>
                <w:iCs/>
                <w:szCs w:val="22"/>
                <w:lang w:bidi="ar-DZ"/>
              </w:rPr>
              <w:t xml:space="preserve">infrastructure projects </w:t>
            </w:r>
            <w:r w:rsidR="0062529E">
              <w:rPr>
                <w:rFonts w:asciiTheme="minorHAnsi" w:hAnsiTheme="minorHAnsi" w:cstheme="minorHAnsi"/>
                <w:iCs/>
                <w:szCs w:val="22"/>
                <w:lang w:bidi="ar-DZ"/>
              </w:rPr>
              <w:t xml:space="preserve">under </w:t>
            </w:r>
            <w:r w:rsidR="000E4235">
              <w:rPr>
                <w:rFonts w:asciiTheme="minorHAnsi" w:hAnsiTheme="minorHAnsi" w:cstheme="minorHAnsi"/>
                <w:iCs/>
                <w:szCs w:val="22"/>
                <w:lang w:bidi="ar-DZ"/>
              </w:rPr>
              <w:t>Kenya’s Vision 2030</w:t>
            </w:r>
            <w:r w:rsidR="008D7D17">
              <w:rPr>
                <w:rFonts w:asciiTheme="minorHAnsi" w:hAnsiTheme="minorHAnsi" w:cstheme="minorHAnsi"/>
                <w:iCs/>
                <w:szCs w:val="22"/>
                <w:lang w:bidi="ar-DZ"/>
              </w:rPr>
              <w:t>,</w:t>
            </w:r>
            <w:r w:rsidR="000B720F">
              <w:rPr>
                <w:rFonts w:asciiTheme="minorHAnsi" w:hAnsiTheme="minorHAnsi" w:cstheme="minorHAnsi"/>
                <w:iCs/>
                <w:szCs w:val="22"/>
                <w:lang w:bidi="ar-DZ"/>
              </w:rPr>
              <w:t xml:space="preserve"> </w:t>
            </w:r>
            <w:r w:rsidR="00410DE5" w:rsidRPr="00410DE5">
              <w:rPr>
                <w:rFonts w:asciiTheme="minorHAnsi" w:hAnsiTheme="minorHAnsi" w:cstheme="minorHAnsi"/>
                <w:iCs/>
                <w:szCs w:val="22"/>
                <w:lang w:val="en-GB" w:bidi="ar-DZ"/>
              </w:rPr>
              <w:t>which aims to transform Kenya into a newly industriali</w:t>
            </w:r>
            <w:r w:rsidR="008D7D17">
              <w:rPr>
                <w:rFonts w:asciiTheme="minorHAnsi" w:hAnsiTheme="minorHAnsi" w:cstheme="minorHAnsi"/>
                <w:iCs/>
                <w:szCs w:val="22"/>
                <w:lang w:val="en-GB" w:bidi="ar-DZ"/>
              </w:rPr>
              <w:t>s</w:t>
            </w:r>
            <w:r w:rsidR="00410DE5" w:rsidRPr="00410DE5">
              <w:rPr>
                <w:rFonts w:asciiTheme="minorHAnsi" w:hAnsiTheme="minorHAnsi" w:cstheme="minorHAnsi"/>
                <w:iCs/>
                <w:szCs w:val="22"/>
                <w:lang w:val="en-GB" w:bidi="ar-DZ"/>
              </w:rPr>
              <w:t>ed middle-income country</w:t>
            </w:r>
            <w:r w:rsidR="005002CA">
              <w:rPr>
                <w:rFonts w:asciiTheme="minorHAnsi" w:hAnsiTheme="minorHAnsi" w:cstheme="minorHAnsi"/>
                <w:iCs/>
                <w:szCs w:val="22"/>
                <w:lang w:val="en-GB" w:bidi="ar-DZ"/>
              </w:rPr>
              <w:t xml:space="preserve"> by 2030</w:t>
            </w:r>
            <w:r w:rsidR="00025C84">
              <w:rPr>
                <w:rFonts w:asciiTheme="minorHAnsi" w:hAnsiTheme="minorHAnsi" w:cstheme="minorHAnsi"/>
                <w:iCs/>
                <w:szCs w:val="22"/>
                <w:lang w:val="en-GB" w:bidi="ar-DZ"/>
              </w:rPr>
              <w:t xml:space="preserve"> (Kenya</w:t>
            </w:r>
            <w:r w:rsidR="00E42BBB">
              <w:rPr>
                <w:rFonts w:asciiTheme="minorHAnsi" w:hAnsiTheme="minorHAnsi" w:cstheme="minorHAnsi"/>
                <w:iCs/>
                <w:szCs w:val="22"/>
                <w:lang w:val="en-GB" w:bidi="ar-DZ"/>
              </w:rPr>
              <w:t xml:space="preserve"> Vision 2030</w:t>
            </w:r>
            <w:r w:rsidR="00025C84">
              <w:rPr>
                <w:rFonts w:asciiTheme="minorHAnsi" w:hAnsiTheme="minorHAnsi" w:cstheme="minorHAnsi"/>
                <w:iCs/>
                <w:szCs w:val="22"/>
                <w:lang w:val="en-GB" w:bidi="ar-DZ"/>
              </w:rPr>
              <w:t>, 2007)</w:t>
            </w:r>
            <w:r w:rsidR="00BA28C6">
              <w:rPr>
                <w:rFonts w:asciiTheme="minorHAnsi" w:hAnsiTheme="minorHAnsi" w:cstheme="minorHAnsi"/>
                <w:iCs/>
                <w:szCs w:val="22"/>
                <w:lang w:bidi="ar-DZ"/>
              </w:rPr>
              <w:t>.</w:t>
            </w:r>
            <w:r w:rsidR="00DF16EC">
              <w:rPr>
                <w:rFonts w:asciiTheme="minorHAnsi" w:hAnsiTheme="minorHAnsi" w:cstheme="minorHAnsi"/>
                <w:iCs/>
                <w:szCs w:val="22"/>
                <w:lang w:bidi="ar-DZ"/>
              </w:rPr>
              <w:t xml:space="preserve"> </w:t>
            </w:r>
            <w:r w:rsidR="008D7D17">
              <w:rPr>
                <w:rFonts w:asciiTheme="minorHAnsi" w:hAnsiTheme="minorHAnsi" w:cstheme="minorHAnsi"/>
                <w:iCs/>
                <w:szCs w:val="22"/>
                <w:lang w:val="en-GB" w:bidi="ar-DZ"/>
              </w:rPr>
              <w:t xml:space="preserve">This </w:t>
            </w:r>
            <w:r w:rsidR="00447DC3">
              <w:rPr>
                <w:rFonts w:asciiTheme="minorHAnsi" w:hAnsiTheme="minorHAnsi" w:cstheme="minorHAnsi"/>
                <w:iCs/>
                <w:szCs w:val="22"/>
                <w:lang w:val="en-GB" w:bidi="ar-DZ"/>
              </w:rPr>
              <w:t>infr</w:t>
            </w:r>
            <w:r w:rsidR="00DC5850">
              <w:rPr>
                <w:rFonts w:asciiTheme="minorHAnsi" w:hAnsiTheme="minorHAnsi" w:cstheme="minorHAnsi"/>
                <w:iCs/>
                <w:szCs w:val="22"/>
                <w:lang w:val="en-GB" w:bidi="ar-DZ"/>
              </w:rPr>
              <w:t>astructure</w:t>
            </w:r>
            <w:r w:rsidR="00ED0886">
              <w:rPr>
                <w:rFonts w:asciiTheme="minorHAnsi" w:hAnsiTheme="minorHAnsi" w:cstheme="minorHAnsi"/>
                <w:iCs/>
                <w:szCs w:val="22"/>
                <w:lang w:val="en-GB" w:bidi="ar-DZ"/>
              </w:rPr>
              <w:t xml:space="preserve"> </w:t>
            </w:r>
            <w:r w:rsidR="00777123">
              <w:rPr>
                <w:rFonts w:asciiTheme="minorHAnsi" w:hAnsiTheme="minorHAnsi" w:cstheme="minorHAnsi"/>
                <w:iCs/>
                <w:szCs w:val="22"/>
                <w:lang w:val="en-GB" w:bidi="ar-DZ"/>
              </w:rPr>
              <w:t>include</w:t>
            </w:r>
            <w:r w:rsidR="00F249B8" w:rsidRPr="00F249B8">
              <w:rPr>
                <w:rFonts w:asciiTheme="minorHAnsi" w:hAnsiTheme="minorHAnsi" w:cstheme="minorHAnsi"/>
                <w:iCs/>
                <w:szCs w:val="22"/>
                <w:lang w:val="en-GB" w:bidi="ar-DZ"/>
              </w:rPr>
              <w:t xml:space="preserve"> the Lamu port-South Sudan-Ethiopia Transport Corridor (LAPSSET) </w:t>
            </w:r>
            <w:r w:rsidR="00092B6C">
              <w:rPr>
                <w:rFonts w:asciiTheme="minorHAnsi" w:hAnsiTheme="minorHAnsi" w:cstheme="minorHAnsi"/>
                <w:iCs/>
                <w:szCs w:val="22"/>
                <w:lang w:val="en-GB" w:bidi="ar-DZ"/>
              </w:rPr>
              <w:t xml:space="preserve">an </w:t>
            </w:r>
            <w:r w:rsidR="005B2A20">
              <w:rPr>
                <w:rFonts w:asciiTheme="minorHAnsi" w:hAnsiTheme="minorHAnsi" w:cstheme="minorHAnsi"/>
                <w:iCs/>
                <w:szCs w:val="22"/>
                <w:lang w:val="en-GB" w:bidi="ar-DZ"/>
              </w:rPr>
              <w:t>ambitious regional infrast</w:t>
            </w:r>
            <w:r w:rsidR="009C3122">
              <w:rPr>
                <w:rFonts w:asciiTheme="minorHAnsi" w:hAnsiTheme="minorHAnsi" w:cstheme="minorHAnsi"/>
                <w:iCs/>
                <w:szCs w:val="22"/>
                <w:lang w:val="en-GB" w:bidi="ar-DZ"/>
              </w:rPr>
              <w:t>ructure involving</w:t>
            </w:r>
            <w:r w:rsidR="00ED43B6">
              <w:rPr>
                <w:rFonts w:asciiTheme="minorHAnsi" w:hAnsiTheme="minorHAnsi" w:cstheme="minorHAnsi"/>
                <w:iCs/>
                <w:szCs w:val="22"/>
                <w:lang w:val="en-GB" w:bidi="ar-DZ"/>
              </w:rPr>
              <w:t xml:space="preserve"> </w:t>
            </w:r>
            <w:r w:rsidR="00F249B8" w:rsidRPr="00F249B8">
              <w:rPr>
                <w:rFonts w:asciiTheme="minorHAnsi" w:hAnsiTheme="minorHAnsi" w:cstheme="minorHAnsi"/>
                <w:iCs/>
                <w:szCs w:val="22"/>
                <w:lang w:val="en-GB" w:bidi="ar-DZ"/>
              </w:rPr>
              <w:t>among other things a highway, a railway line, a resort city, a dam, an international airport, an oil refinery and most importantly, an oil pipeline that links Kenya, South Sudan</w:t>
            </w:r>
            <w:r w:rsidR="005620F5">
              <w:rPr>
                <w:rFonts w:asciiTheme="minorHAnsi" w:hAnsiTheme="minorHAnsi" w:cstheme="minorHAnsi"/>
                <w:iCs/>
                <w:szCs w:val="22"/>
                <w:lang w:val="en-GB" w:bidi="ar-DZ"/>
              </w:rPr>
              <w:t xml:space="preserve"> and</w:t>
            </w:r>
            <w:r w:rsidR="00F249B8" w:rsidRPr="00F249B8">
              <w:rPr>
                <w:rFonts w:asciiTheme="minorHAnsi" w:hAnsiTheme="minorHAnsi" w:cstheme="minorHAnsi"/>
                <w:iCs/>
                <w:szCs w:val="22"/>
                <w:lang w:val="en-GB" w:bidi="ar-DZ"/>
              </w:rPr>
              <w:t xml:space="preserve"> Ethiopia to </w:t>
            </w:r>
            <w:r w:rsidR="00F249B8" w:rsidRPr="00F249B8">
              <w:rPr>
                <w:rFonts w:asciiTheme="minorHAnsi" w:hAnsiTheme="minorHAnsi" w:cstheme="minorHAnsi"/>
                <w:iCs/>
                <w:szCs w:val="22"/>
                <w:lang w:val="en-GB" w:bidi="ar-DZ"/>
              </w:rPr>
              <w:lastRenderedPageBreak/>
              <w:t>a new seaport and oil terminal in Lamu on the coast</w:t>
            </w:r>
            <w:r w:rsidR="005620F5">
              <w:rPr>
                <w:rFonts w:asciiTheme="minorHAnsi" w:hAnsiTheme="minorHAnsi" w:cstheme="minorHAnsi"/>
                <w:iCs/>
                <w:szCs w:val="22"/>
                <w:lang w:val="en-GB" w:bidi="ar-DZ"/>
              </w:rPr>
              <w:t>.</w:t>
            </w:r>
            <w:r w:rsidR="008C49AB">
              <w:rPr>
                <w:rFonts w:asciiTheme="minorHAnsi" w:hAnsiTheme="minorHAnsi" w:cstheme="minorHAnsi"/>
                <w:iCs/>
                <w:szCs w:val="22"/>
                <w:lang w:val="en-GB" w:bidi="ar-DZ"/>
              </w:rPr>
              <w:t xml:space="preserve"> </w:t>
            </w:r>
            <w:r w:rsidR="000B2AE3" w:rsidRPr="000B2AE3">
              <w:rPr>
                <w:rFonts w:asciiTheme="minorHAnsi" w:hAnsiTheme="minorHAnsi" w:cstheme="minorHAnsi"/>
                <w:iCs/>
                <w:szCs w:val="22"/>
                <w:lang w:val="en-GB" w:bidi="ar-DZ"/>
              </w:rPr>
              <w:t>Together, oil development and these related investments are increasing competition over land in a region where livelihoods depend on communal grazing areas and access to water. Yet communities in Turkana have limited influence over decisions regarding land access, compensation, or project design</w:t>
            </w:r>
            <w:r w:rsidR="00652C64" w:rsidRPr="00652C64">
              <w:rPr>
                <w:rFonts w:asciiTheme="minorHAnsi" w:hAnsiTheme="minorHAnsi" w:cstheme="minorHAnsi"/>
                <w:iCs/>
                <w:szCs w:val="22"/>
                <w:lang w:bidi="ar-DZ"/>
              </w:rPr>
              <w:t xml:space="preserve"> </w:t>
            </w:r>
            <w:r w:rsidR="00652C64" w:rsidRPr="00652C64">
              <w:rPr>
                <w:rFonts w:asciiTheme="minorHAnsi" w:hAnsiTheme="minorHAnsi" w:cstheme="minorHAnsi"/>
                <w:iCs/>
                <w:szCs w:val="22"/>
                <w:lang w:bidi="ar-DZ"/>
              </w:rPr>
              <w:fldChar w:fldCharType="begin"/>
            </w:r>
            <w:r w:rsidR="00F32762">
              <w:rPr>
                <w:rFonts w:asciiTheme="minorHAnsi" w:hAnsiTheme="minorHAnsi" w:cstheme="minorHAnsi"/>
                <w:iCs/>
                <w:szCs w:val="22"/>
                <w:lang w:bidi="ar-DZ"/>
              </w:rPr>
              <w:instrText xml:space="preserve"> ADDIN ZOTERO_ITEM CSL_CITATION {"citationID":"xejHz0tR","properties":{"formattedCitation":"(Mkutu &amp; Mdee, 2020; Schubiger, 2025)","plainCitation":"(Mkutu &amp; Mdee, 2020; Schubiger, 2025)","dontUpdate":true,"noteIndex":0},"citationItems":[{"id":1245,"uris":["http://zotero.org/users/11681747/items/D7B6J4CW"],"itemData":{"id":1245,"type":"article-journal","abstract":"Formerly marginal areas are increasingly the focus of extractive megaprojects, which are framed as necessary for economic growth and a modern industrial economy. Yet there are concerns that such projects are unjustly displacing local populations, facilitated through the alliances of local elites with foreign investors. This article asks, who are the winners and losers from oil exploration in the Turkana region of Kenya? Using longitudinal ethnographic research on the dynamics of local government, oil exploration, and pastoralist livelihoods in Turkana, Mkutu and Mdee highlight how current processes may exacerbate inequality and marginalization, with the potential for increasingly violent consequences.","container-title":"African Studies Review","DOI":"10.1017/asr.2020.2","ISSN":"0002-0206, 1555-2462","issue":"4","journalAbbreviation":"Afr. Stud. Rev.","language":"en","license":"https://www.cambridge.org/core/terms","page":"831-857","publisher":"Cambridge University Press (CUP)","source":"Crossref","title":"Conservancies, Conflict and Dispossession: The Winners and Losers of Oil Exploration in Turkana, Kenya","title-short":"Conservancies, Conflict and Dispossession","volume":"63","author":[{"family":"Mkutu","given":"Kennedy"},{"family":"Mdee","given":"Anna"}],"issued":{"date-parts":[["2020",12]]}}},{"id":1061,"uris":["http://zotero.org/users/11681747/items/SV7MVW5S"],"itemData":{"id":1061,"type":"article-journal","abstract":"Turkana, in northern Kenya, has experienced an unsteady flow of development interventions. Development projects vary greatly in orientation – from health to infrastructure, agriculture to civic education – and by the implementing agents. Recently, oil companies have assumed the role of development agents, collaborating with the government on infrastructure development and corporate social responsibility initiatives. However, far from the promises made, projects are replete with delays, circularity, and abrupt standstills. In my case study, I will elaborate concrete promises lingering indefinitely, creating an interim state that eventually becomes an intransient ghost project: a ‘development limbo’. Rather than focusing on the clash of visions between different stakeholders or the repurposing of projects over time, this article will explore the gaps between the promises of transformative change and its truncated, uncertain delivery. Through the ‘ghosts’ of Project Oil Kenya, I will examine how, among local stakeholders, the promises of oil-driven development create a state of in-betweenness. This encompasses legacies of past interventions that may or may not be revived and imaginations and aspirations regarding those yet to come. By focusing on the notion of development limbo, I will assert the reappropriation of the remains of the pending Project Oil Kenya in Turkana’s extraction sites.","container-title":"Third World Quarterly","DOI":"10.1080/01436597.2024.2444324","ISSN":"0143-6597, 1360-2241","journalAbbreviation":"Third World Quarterly","language":"en","page":"1-18","source":"DOI.org (Crossref)","title":"Turkana’s extractive promises in limbo","author":[{"family":"Schubiger","given":"Elisabeth"}],"issued":{"date-parts":[["2025",1,10]]}}}],"schema":"https://github.com/citation-style-language/schema/raw/master/csl-citation.json"} </w:instrText>
            </w:r>
            <w:r w:rsidR="00652C64" w:rsidRPr="00652C64">
              <w:rPr>
                <w:rFonts w:asciiTheme="minorHAnsi" w:hAnsiTheme="minorHAnsi" w:cstheme="minorHAnsi"/>
                <w:iCs/>
                <w:szCs w:val="22"/>
                <w:lang w:bidi="ar-DZ"/>
              </w:rPr>
              <w:fldChar w:fldCharType="separate"/>
            </w:r>
            <w:r w:rsidR="00652C64" w:rsidRPr="00652C64">
              <w:rPr>
                <w:rFonts w:asciiTheme="minorHAnsi" w:hAnsiTheme="minorHAnsi" w:cstheme="minorHAnsi"/>
                <w:iCs/>
                <w:szCs w:val="22"/>
                <w:lang w:bidi="ar-DZ"/>
              </w:rPr>
              <w:t>(</w:t>
            </w:r>
            <w:proofErr w:type="spellStart"/>
            <w:r w:rsidR="00652C64" w:rsidRPr="00652C64">
              <w:rPr>
                <w:rFonts w:asciiTheme="minorHAnsi" w:hAnsiTheme="minorHAnsi" w:cstheme="minorHAnsi"/>
                <w:iCs/>
                <w:szCs w:val="22"/>
                <w:lang w:bidi="ar-DZ"/>
              </w:rPr>
              <w:t>Schubiger</w:t>
            </w:r>
            <w:proofErr w:type="spellEnd"/>
            <w:r w:rsidR="00652C64" w:rsidRPr="00652C64">
              <w:rPr>
                <w:rFonts w:asciiTheme="minorHAnsi" w:hAnsiTheme="minorHAnsi" w:cstheme="minorHAnsi"/>
                <w:iCs/>
                <w:szCs w:val="22"/>
                <w:lang w:bidi="ar-DZ"/>
              </w:rPr>
              <w:t>, 2025)</w:t>
            </w:r>
            <w:r w:rsidR="00652C64" w:rsidRPr="00652C64">
              <w:rPr>
                <w:rFonts w:asciiTheme="minorHAnsi" w:hAnsiTheme="minorHAnsi" w:cstheme="minorHAnsi"/>
                <w:iCs/>
                <w:szCs w:val="22"/>
                <w:lang w:bidi="ar-DZ"/>
              </w:rPr>
              <w:fldChar w:fldCharType="end"/>
            </w:r>
            <w:r w:rsidR="00652C64" w:rsidRPr="00652C64">
              <w:rPr>
                <w:rFonts w:asciiTheme="minorHAnsi" w:hAnsiTheme="minorHAnsi" w:cstheme="minorHAnsi"/>
                <w:iCs/>
                <w:szCs w:val="22"/>
                <w:lang w:bidi="ar-DZ"/>
              </w:rPr>
              <w:t xml:space="preserve">. </w:t>
            </w:r>
          </w:p>
          <w:p w14:paraId="1650F56B" w14:textId="20A9DBF7" w:rsidR="005630F6" w:rsidRDefault="003902D1" w:rsidP="00695E42">
            <w:pPr>
              <w:ind w:firstLine="436"/>
              <w:jc w:val="both"/>
              <w:rPr>
                <w:rFonts w:asciiTheme="minorHAnsi" w:hAnsiTheme="minorHAnsi" w:cstheme="minorHAnsi"/>
                <w:iCs/>
                <w:szCs w:val="22"/>
                <w:lang w:bidi="ar-DZ"/>
              </w:rPr>
            </w:pPr>
            <w:r>
              <w:rPr>
                <w:rFonts w:asciiTheme="minorHAnsi" w:hAnsiTheme="minorHAnsi" w:cstheme="minorHAnsi"/>
                <w:iCs/>
                <w:szCs w:val="22"/>
                <w:lang w:bidi="ar-DZ"/>
              </w:rPr>
              <w:t xml:space="preserve">As </w:t>
            </w:r>
            <w:r w:rsidR="000154C1">
              <w:rPr>
                <w:rFonts w:asciiTheme="minorHAnsi" w:hAnsiTheme="minorHAnsi" w:cstheme="minorHAnsi"/>
                <w:iCs/>
                <w:szCs w:val="22"/>
                <w:lang w:bidi="ar-DZ"/>
              </w:rPr>
              <w:t xml:space="preserve">oil </w:t>
            </w:r>
            <w:r w:rsidR="00104E00">
              <w:rPr>
                <w:rFonts w:asciiTheme="minorHAnsi" w:hAnsiTheme="minorHAnsi" w:cstheme="minorHAnsi"/>
                <w:iCs/>
                <w:szCs w:val="22"/>
                <w:lang w:bidi="ar-DZ"/>
              </w:rPr>
              <w:t>operations expand</w:t>
            </w:r>
            <w:r>
              <w:rPr>
                <w:rFonts w:asciiTheme="minorHAnsi" w:hAnsiTheme="minorHAnsi" w:cstheme="minorHAnsi"/>
                <w:iCs/>
                <w:szCs w:val="22"/>
                <w:lang w:bidi="ar-DZ"/>
              </w:rPr>
              <w:t>,</w:t>
            </w:r>
            <w:r w:rsidR="00031914">
              <w:rPr>
                <w:rFonts w:asciiTheme="minorHAnsi" w:hAnsiTheme="minorHAnsi" w:cstheme="minorHAnsi"/>
                <w:iCs/>
                <w:szCs w:val="22"/>
                <w:lang w:bidi="ar-DZ"/>
              </w:rPr>
              <w:t xml:space="preserve"> communities </w:t>
            </w:r>
            <w:r w:rsidR="005C0562">
              <w:rPr>
                <w:rFonts w:asciiTheme="minorHAnsi" w:hAnsiTheme="minorHAnsi" w:cstheme="minorHAnsi"/>
                <w:iCs/>
                <w:szCs w:val="22"/>
                <w:lang w:bidi="ar-DZ"/>
              </w:rPr>
              <w:t>report</w:t>
            </w:r>
            <w:r>
              <w:rPr>
                <w:rFonts w:asciiTheme="minorHAnsi" w:hAnsiTheme="minorHAnsi" w:cstheme="minorHAnsi"/>
                <w:iCs/>
                <w:szCs w:val="22"/>
                <w:lang w:bidi="ar-DZ"/>
              </w:rPr>
              <w:t xml:space="preserve"> </w:t>
            </w:r>
            <w:r w:rsidR="008365BB">
              <w:rPr>
                <w:rFonts w:asciiTheme="minorHAnsi" w:hAnsiTheme="minorHAnsi" w:cstheme="minorHAnsi"/>
                <w:iCs/>
                <w:szCs w:val="22"/>
                <w:lang w:bidi="ar-DZ"/>
              </w:rPr>
              <w:t xml:space="preserve">sizeable socio-environmental challenges. These include </w:t>
            </w:r>
            <w:r>
              <w:rPr>
                <w:rFonts w:asciiTheme="minorHAnsi" w:hAnsiTheme="minorHAnsi" w:cstheme="minorHAnsi"/>
                <w:iCs/>
                <w:szCs w:val="22"/>
                <w:lang w:bidi="ar-DZ"/>
              </w:rPr>
              <w:t>loss of grazing land</w:t>
            </w:r>
            <w:r w:rsidR="002316B2">
              <w:rPr>
                <w:rFonts w:asciiTheme="minorHAnsi" w:hAnsiTheme="minorHAnsi" w:cstheme="minorHAnsi"/>
                <w:iCs/>
                <w:szCs w:val="22"/>
                <w:lang w:bidi="ar-DZ"/>
              </w:rPr>
              <w:t xml:space="preserve">, </w:t>
            </w:r>
            <w:r w:rsidR="00BC0D42">
              <w:rPr>
                <w:rFonts w:asciiTheme="minorHAnsi" w:hAnsiTheme="minorHAnsi" w:cstheme="minorHAnsi"/>
                <w:iCs/>
                <w:szCs w:val="22"/>
                <w:lang w:bidi="ar-DZ"/>
              </w:rPr>
              <w:t>restricted access routes</w:t>
            </w:r>
            <w:r w:rsidR="00F927E6">
              <w:rPr>
                <w:rFonts w:asciiTheme="minorHAnsi" w:hAnsiTheme="minorHAnsi" w:cstheme="minorHAnsi"/>
                <w:iCs/>
                <w:szCs w:val="22"/>
                <w:lang w:bidi="ar-DZ"/>
              </w:rPr>
              <w:t xml:space="preserve">, rising </w:t>
            </w:r>
            <w:r w:rsidR="00EC5064">
              <w:rPr>
                <w:rFonts w:asciiTheme="minorHAnsi" w:hAnsiTheme="minorHAnsi" w:cstheme="minorHAnsi"/>
                <w:iCs/>
                <w:szCs w:val="22"/>
                <w:lang w:bidi="ar-DZ"/>
              </w:rPr>
              <w:t xml:space="preserve">environmental </w:t>
            </w:r>
            <w:r w:rsidR="0045543D">
              <w:rPr>
                <w:rFonts w:asciiTheme="minorHAnsi" w:hAnsiTheme="minorHAnsi" w:cstheme="minorHAnsi"/>
                <w:iCs/>
                <w:szCs w:val="22"/>
                <w:lang w:bidi="ar-DZ"/>
              </w:rPr>
              <w:t xml:space="preserve">and social </w:t>
            </w:r>
            <w:r w:rsidR="00421A86">
              <w:rPr>
                <w:rFonts w:asciiTheme="minorHAnsi" w:hAnsiTheme="minorHAnsi" w:cstheme="minorHAnsi"/>
                <w:iCs/>
                <w:szCs w:val="22"/>
                <w:lang w:bidi="ar-DZ"/>
              </w:rPr>
              <w:t xml:space="preserve">pressures, </w:t>
            </w:r>
            <w:r w:rsidR="00CB74C2">
              <w:rPr>
                <w:rFonts w:asciiTheme="minorHAnsi" w:hAnsiTheme="minorHAnsi" w:cstheme="minorHAnsi"/>
                <w:iCs/>
                <w:szCs w:val="22"/>
                <w:lang w:bidi="ar-DZ"/>
              </w:rPr>
              <w:t xml:space="preserve">disputes over land acquisition and compensation, </w:t>
            </w:r>
            <w:r w:rsidR="0045543D">
              <w:rPr>
                <w:rFonts w:asciiTheme="minorHAnsi" w:hAnsiTheme="minorHAnsi" w:cstheme="minorHAnsi"/>
                <w:iCs/>
                <w:szCs w:val="22"/>
                <w:lang w:bidi="ar-DZ"/>
              </w:rPr>
              <w:t xml:space="preserve">and </w:t>
            </w:r>
            <w:r w:rsidR="00047454">
              <w:rPr>
                <w:rFonts w:asciiTheme="minorHAnsi" w:hAnsiTheme="minorHAnsi" w:cstheme="minorHAnsi"/>
                <w:iCs/>
                <w:szCs w:val="22"/>
                <w:lang w:bidi="ar-DZ"/>
              </w:rPr>
              <w:t>growing human rights concerns.</w:t>
            </w:r>
            <w:r w:rsidR="0010297B">
              <w:rPr>
                <w:rFonts w:asciiTheme="minorHAnsi" w:hAnsiTheme="minorHAnsi" w:cstheme="minorHAnsi"/>
                <w:iCs/>
                <w:szCs w:val="22"/>
                <w:lang w:bidi="ar-DZ"/>
              </w:rPr>
              <w:t xml:space="preserve"> </w:t>
            </w:r>
            <w:r w:rsidR="008365BB">
              <w:rPr>
                <w:rFonts w:asciiTheme="minorHAnsi" w:hAnsiTheme="minorHAnsi" w:cstheme="minorHAnsi"/>
                <w:iCs/>
                <w:szCs w:val="22"/>
                <w:lang w:bidi="ar-DZ"/>
              </w:rPr>
              <w:t>As t</w:t>
            </w:r>
            <w:r w:rsidR="00547F48">
              <w:rPr>
                <w:rFonts w:asciiTheme="minorHAnsi" w:hAnsiTheme="minorHAnsi" w:cstheme="minorHAnsi"/>
                <w:iCs/>
                <w:szCs w:val="22"/>
                <w:lang w:bidi="ar-DZ"/>
              </w:rPr>
              <w:t xml:space="preserve">hese changes are occurring </w:t>
            </w:r>
            <w:r w:rsidR="008365BB">
              <w:rPr>
                <w:rFonts w:asciiTheme="minorHAnsi" w:hAnsiTheme="minorHAnsi" w:cstheme="minorHAnsi"/>
                <w:iCs/>
                <w:szCs w:val="22"/>
                <w:lang w:bidi="ar-DZ"/>
              </w:rPr>
              <w:t xml:space="preserve">without </w:t>
            </w:r>
            <w:r w:rsidR="00547F48">
              <w:rPr>
                <w:rFonts w:asciiTheme="minorHAnsi" w:hAnsiTheme="minorHAnsi" w:cstheme="minorHAnsi"/>
                <w:iCs/>
                <w:szCs w:val="22"/>
                <w:lang w:bidi="ar-DZ"/>
              </w:rPr>
              <w:t xml:space="preserve">community land rights </w:t>
            </w:r>
            <w:r w:rsidR="008365BB">
              <w:rPr>
                <w:rFonts w:asciiTheme="minorHAnsi" w:hAnsiTheme="minorHAnsi" w:cstheme="minorHAnsi"/>
                <w:iCs/>
                <w:szCs w:val="22"/>
                <w:lang w:bidi="ar-DZ"/>
              </w:rPr>
              <w:t xml:space="preserve">being </w:t>
            </w:r>
            <w:r w:rsidR="00547F48">
              <w:rPr>
                <w:rFonts w:asciiTheme="minorHAnsi" w:hAnsiTheme="minorHAnsi" w:cstheme="minorHAnsi"/>
                <w:iCs/>
                <w:szCs w:val="22"/>
                <w:lang w:bidi="ar-DZ"/>
              </w:rPr>
              <w:t>fully secure</w:t>
            </w:r>
            <w:r w:rsidR="006F3E6A">
              <w:rPr>
                <w:rFonts w:asciiTheme="minorHAnsi" w:hAnsiTheme="minorHAnsi" w:cstheme="minorHAnsi"/>
                <w:iCs/>
                <w:szCs w:val="22"/>
                <w:lang w:bidi="ar-DZ"/>
              </w:rPr>
              <w:t>d</w:t>
            </w:r>
            <w:r w:rsidR="008365BB">
              <w:rPr>
                <w:rFonts w:asciiTheme="minorHAnsi" w:hAnsiTheme="minorHAnsi" w:cstheme="minorHAnsi"/>
                <w:iCs/>
                <w:szCs w:val="22"/>
                <w:lang w:bidi="ar-DZ"/>
              </w:rPr>
              <w:t xml:space="preserve">, </w:t>
            </w:r>
            <w:r w:rsidR="00460CCB">
              <w:rPr>
                <w:rFonts w:asciiTheme="minorHAnsi" w:hAnsiTheme="minorHAnsi" w:cstheme="minorHAnsi"/>
                <w:iCs/>
                <w:szCs w:val="22"/>
                <w:lang w:bidi="ar-DZ"/>
              </w:rPr>
              <w:t xml:space="preserve">livelihood insecurity </w:t>
            </w:r>
            <w:r w:rsidR="008365BB">
              <w:rPr>
                <w:rFonts w:asciiTheme="minorHAnsi" w:hAnsiTheme="minorHAnsi" w:cstheme="minorHAnsi"/>
                <w:iCs/>
                <w:szCs w:val="22"/>
                <w:lang w:bidi="ar-DZ"/>
              </w:rPr>
              <w:t>has been further aggravated</w:t>
            </w:r>
            <w:r w:rsidR="00AB7E7C">
              <w:rPr>
                <w:rFonts w:asciiTheme="minorHAnsi" w:hAnsiTheme="minorHAnsi" w:cstheme="minorHAnsi"/>
                <w:iCs/>
                <w:szCs w:val="22"/>
                <w:lang w:bidi="ar-DZ"/>
              </w:rPr>
              <w:t xml:space="preserve">. </w:t>
            </w:r>
            <w:r w:rsidR="00607646">
              <w:rPr>
                <w:rFonts w:asciiTheme="minorHAnsi" w:hAnsiTheme="minorHAnsi" w:cstheme="minorHAnsi"/>
                <w:iCs/>
                <w:szCs w:val="22"/>
                <w:lang w:bidi="ar-DZ"/>
              </w:rPr>
              <w:t xml:space="preserve">For </w:t>
            </w:r>
            <w:r w:rsidR="00A86862">
              <w:rPr>
                <w:rFonts w:asciiTheme="minorHAnsi" w:hAnsiTheme="minorHAnsi" w:cstheme="minorHAnsi"/>
                <w:iCs/>
                <w:szCs w:val="22"/>
                <w:lang w:bidi="ar-DZ"/>
              </w:rPr>
              <w:t>pastoral households, reduced access to land translates directly int</w:t>
            </w:r>
            <w:r w:rsidR="00737991">
              <w:rPr>
                <w:rFonts w:asciiTheme="minorHAnsi" w:hAnsiTheme="minorHAnsi" w:cstheme="minorHAnsi"/>
                <w:iCs/>
                <w:szCs w:val="22"/>
                <w:lang w:bidi="ar-DZ"/>
              </w:rPr>
              <w:t>o food insecurity, loss of income and increased conflicts over scarce resources</w:t>
            </w:r>
            <w:r w:rsidR="003237D1">
              <w:rPr>
                <w:rFonts w:asciiTheme="minorHAnsi" w:hAnsiTheme="minorHAnsi" w:cstheme="minorHAnsi"/>
                <w:iCs/>
                <w:szCs w:val="22"/>
                <w:lang w:bidi="ar-DZ"/>
              </w:rPr>
              <w:t xml:space="preserve"> </w:t>
            </w:r>
            <w:r w:rsidR="00B60928" w:rsidRPr="00B60928">
              <w:rPr>
                <w:rFonts w:ascii="Calibri" w:hAnsi="Calibri" w:cs="Calibri"/>
                <w:iCs/>
                <w:szCs w:val="22"/>
                <w:lang w:bidi="ar-DZ"/>
              </w:rPr>
              <w:fldChar w:fldCharType="begin"/>
            </w:r>
            <w:r w:rsidR="00B60928" w:rsidRPr="00B60928">
              <w:rPr>
                <w:rFonts w:ascii="Calibri" w:hAnsi="Calibri" w:cs="Calibri"/>
                <w:iCs/>
                <w:szCs w:val="22"/>
                <w:lang w:bidi="ar-DZ"/>
              </w:rPr>
              <w:instrText xml:space="preserve"> ADDIN ZOTERO_ITEM CSL_CITATION {"citationID":"1tu68WYr","properties":{"unsorted":false,"formattedCitation":"(IWGIA, 2017)","plainCitation":"(IWGIA, 2017)","noteIndex":0},"citationItems":[{"id":202,"uris":["http://zotero.org/users/11681747/items/Y9IZTR2F"],"itemData":{"id":202,"type":"report","ISBN":"978-87-92786-76-0","language":"en","note":"OCLC: 1000178049","publisher":"IWGIA ; African Commission on Human and Peoples' Rights","publisher-place":"Copenhagen, Banjul","source":"Open WorldCat","title":"Extractive industries, land rights and indigenous populations', communities' rights: East, Central and Southern Africa = Industries extractives, droits fonciers et droits des populations, communautés autochtones","title-short":"Extractive industries, land rights and indigenous populations', communities' rights","author":[{"family":"IWGIA","given":""}],"issued":{"date-parts":[["2017"]]}}}],"schema":"https://github.com/citation-style-language/schema/raw/master/csl-citation.json"} </w:instrText>
            </w:r>
            <w:r w:rsidR="00B60928" w:rsidRPr="00B60928">
              <w:rPr>
                <w:rFonts w:ascii="Calibri" w:hAnsi="Calibri" w:cs="Calibri"/>
                <w:iCs/>
                <w:szCs w:val="22"/>
                <w:lang w:bidi="ar-DZ"/>
              </w:rPr>
              <w:fldChar w:fldCharType="separate"/>
            </w:r>
            <w:r w:rsidR="00B60928" w:rsidRPr="00B60928">
              <w:rPr>
                <w:rFonts w:ascii="Calibri" w:hAnsi="Calibri" w:cs="Calibri"/>
              </w:rPr>
              <w:t>(IWGIA, 2017)</w:t>
            </w:r>
            <w:r w:rsidR="00B60928" w:rsidRPr="00B60928">
              <w:rPr>
                <w:rFonts w:ascii="Calibri" w:hAnsi="Calibri" w:cs="Calibri"/>
                <w:iCs/>
                <w:szCs w:val="22"/>
                <w:lang w:bidi="ar-DZ"/>
              </w:rPr>
              <w:fldChar w:fldCharType="end"/>
            </w:r>
            <w:r w:rsidR="003F3CFE">
              <w:rPr>
                <w:rFonts w:asciiTheme="minorHAnsi" w:hAnsiTheme="minorHAnsi" w:cstheme="minorHAnsi"/>
                <w:iCs/>
                <w:szCs w:val="22"/>
                <w:lang w:bidi="ar-DZ"/>
              </w:rPr>
              <w:t xml:space="preserve">. </w:t>
            </w:r>
          </w:p>
          <w:p w14:paraId="73CB58F4" w14:textId="06C214EC" w:rsidR="006607AB" w:rsidRDefault="0038510F" w:rsidP="00695E42">
            <w:pPr>
              <w:ind w:firstLine="436"/>
              <w:jc w:val="both"/>
              <w:rPr>
                <w:rFonts w:asciiTheme="minorHAnsi" w:hAnsiTheme="minorHAnsi" w:cstheme="minorHAnsi"/>
                <w:iCs/>
                <w:szCs w:val="22"/>
                <w:lang w:bidi="ar-DZ"/>
              </w:rPr>
            </w:pPr>
            <w:r>
              <w:rPr>
                <w:rFonts w:asciiTheme="minorHAnsi" w:hAnsiTheme="minorHAnsi" w:cstheme="minorHAnsi"/>
                <w:iCs/>
                <w:szCs w:val="22"/>
              </w:rPr>
              <w:t xml:space="preserve">The result </w:t>
            </w:r>
            <w:r w:rsidR="00014317">
              <w:rPr>
                <w:rFonts w:asciiTheme="minorHAnsi" w:hAnsiTheme="minorHAnsi" w:cstheme="minorHAnsi"/>
                <w:iCs/>
                <w:szCs w:val="22"/>
              </w:rPr>
              <w:t xml:space="preserve">is a widening gap between the promise of </w:t>
            </w:r>
            <w:r w:rsidR="008D7D17">
              <w:rPr>
                <w:rFonts w:asciiTheme="minorHAnsi" w:hAnsiTheme="minorHAnsi" w:cstheme="minorHAnsi"/>
                <w:iCs/>
                <w:szCs w:val="22"/>
              </w:rPr>
              <w:t>resource-</w:t>
            </w:r>
            <w:r w:rsidR="00014317">
              <w:rPr>
                <w:rFonts w:asciiTheme="minorHAnsi" w:hAnsiTheme="minorHAnsi" w:cstheme="minorHAnsi"/>
                <w:iCs/>
                <w:szCs w:val="22"/>
              </w:rPr>
              <w:t xml:space="preserve">led development and </w:t>
            </w:r>
            <w:r w:rsidR="000E25E2">
              <w:rPr>
                <w:rFonts w:asciiTheme="minorHAnsi" w:hAnsiTheme="minorHAnsi" w:cstheme="minorHAnsi"/>
                <w:iCs/>
                <w:szCs w:val="22"/>
              </w:rPr>
              <w:t>local realities</w:t>
            </w:r>
            <w:r w:rsidR="00A16DF0">
              <w:rPr>
                <w:rFonts w:asciiTheme="minorHAnsi" w:hAnsiTheme="minorHAnsi" w:cstheme="minorHAnsi"/>
                <w:iCs/>
                <w:szCs w:val="22"/>
              </w:rPr>
              <w:t xml:space="preserve">. Instead of strengthening livelihoods, </w:t>
            </w:r>
            <w:r w:rsidR="009E084A">
              <w:rPr>
                <w:rFonts w:asciiTheme="minorHAnsi" w:hAnsiTheme="minorHAnsi" w:cstheme="minorHAnsi"/>
                <w:iCs/>
                <w:szCs w:val="22"/>
              </w:rPr>
              <w:t xml:space="preserve">current </w:t>
            </w:r>
            <w:r w:rsidR="000A0C5D">
              <w:rPr>
                <w:rFonts w:asciiTheme="minorHAnsi" w:hAnsiTheme="minorHAnsi" w:cstheme="minorHAnsi"/>
                <w:iCs/>
                <w:szCs w:val="22"/>
              </w:rPr>
              <w:t>development dynamic</w:t>
            </w:r>
            <w:r w:rsidR="009E084A">
              <w:rPr>
                <w:rFonts w:asciiTheme="minorHAnsi" w:hAnsiTheme="minorHAnsi" w:cstheme="minorHAnsi"/>
                <w:iCs/>
                <w:szCs w:val="22"/>
              </w:rPr>
              <w:t xml:space="preserve">s are </w:t>
            </w:r>
            <w:r w:rsidR="006D2CD6">
              <w:rPr>
                <w:rFonts w:asciiTheme="minorHAnsi" w:hAnsiTheme="minorHAnsi" w:cstheme="minorHAnsi"/>
                <w:iCs/>
                <w:szCs w:val="22"/>
              </w:rPr>
              <w:t xml:space="preserve">disrupting pastoral production systems, weakening social cohesion, increasing mistrust </w:t>
            </w:r>
            <w:r w:rsidR="0063522B">
              <w:rPr>
                <w:rFonts w:asciiTheme="minorHAnsi" w:hAnsiTheme="minorHAnsi" w:cstheme="minorHAnsi"/>
                <w:iCs/>
                <w:szCs w:val="22"/>
              </w:rPr>
              <w:t xml:space="preserve">toward </w:t>
            </w:r>
            <w:r w:rsidR="000838D9">
              <w:rPr>
                <w:rFonts w:asciiTheme="minorHAnsi" w:hAnsiTheme="minorHAnsi" w:cstheme="minorHAnsi"/>
                <w:iCs/>
                <w:szCs w:val="22"/>
              </w:rPr>
              <w:t>government and</w:t>
            </w:r>
            <w:r w:rsidR="0063522B">
              <w:rPr>
                <w:rFonts w:asciiTheme="minorHAnsi" w:hAnsiTheme="minorHAnsi" w:cstheme="minorHAnsi"/>
                <w:iCs/>
                <w:szCs w:val="22"/>
              </w:rPr>
              <w:t xml:space="preserve"> project developers and reducing community willingness to cooper</w:t>
            </w:r>
            <w:r w:rsidR="00197FA2">
              <w:rPr>
                <w:rFonts w:asciiTheme="minorHAnsi" w:hAnsiTheme="minorHAnsi" w:cstheme="minorHAnsi"/>
                <w:iCs/>
                <w:szCs w:val="22"/>
              </w:rPr>
              <w:t>ate with future development initiatives</w:t>
            </w:r>
            <w:r w:rsidR="000838D9">
              <w:rPr>
                <w:rFonts w:asciiTheme="minorHAnsi" w:hAnsiTheme="minorHAnsi" w:cstheme="minorHAnsi"/>
                <w:iCs/>
                <w:szCs w:val="22"/>
              </w:rPr>
              <w:t>.</w:t>
            </w:r>
          </w:p>
          <w:p w14:paraId="26C23067" w14:textId="3FCE6EB5" w:rsidR="00E40A2C" w:rsidRDefault="006607AB" w:rsidP="00695E42">
            <w:pPr>
              <w:pStyle w:val="BulletPoints"/>
              <w:numPr>
                <w:ilvl w:val="0"/>
                <w:numId w:val="0"/>
              </w:numPr>
              <w:spacing w:after="0"/>
              <w:ind w:firstLine="346"/>
              <w:rPr>
                <w:rFonts w:asciiTheme="minorHAnsi" w:hAnsiTheme="minorHAnsi" w:cstheme="minorHAnsi"/>
                <w:iCs/>
                <w:sz w:val="22"/>
                <w:szCs w:val="22"/>
              </w:rPr>
            </w:pPr>
            <w:r w:rsidRPr="00C859FE">
              <w:rPr>
                <w:rFonts w:asciiTheme="minorHAnsi" w:hAnsiTheme="minorHAnsi" w:cstheme="minorHAnsi"/>
                <w:iCs/>
                <w:sz w:val="22"/>
                <w:szCs w:val="22"/>
              </w:rPr>
              <w:t>In Turkana, oil development advanc</w:t>
            </w:r>
            <w:r w:rsidR="00E75ADB">
              <w:rPr>
                <w:rFonts w:asciiTheme="minorHAnsi" w:hAnsiTheme="minorHAnsi" w:cstheme="minorHAnsi"/>
                <w:iCs/>
                <w:sz w:val="22"/>
                <w:szCs w:val="22"/>
              </w:rPr>
              <w:t>ed</w:t>
            </w:r>
            <w:r w:rsidRPr="00C859FE">
              <w:rPr>
                <w:rFonts w:asciiTheme="minorHAnsi" w:hAnsiTheme="minorHAnsi" w:cstheme="minorHAnsi"/>
                <w:iCs/>
                <w:sz w:val="22"/>
                <w:szCs w:val="22"/>
              </w:rPr>
              <w:t xml:space="preserve"> within a national growth strategy</w:t>
            </w:r>
            <w:r>
              <w:rPr>
                <w:rFonts w:asciiTheme="minorHAnsi" w:hAnsiTheme="minorHAnsi" w:cstheme="minorHAnsi"/>
                <w:iCs/>
                <w:sz w:val="22"/>
                <w:szCs w:val="22"/>
              </w:rPr>
              <w:t xml:space="preserve"> where</w:t>
            </w:r>
            <w:r w:rsidRPr="00C859FE">
              <w:rPr>
                <w:rFonts w:asciiTheme="minorHAnsi" w:hAnsiTheme="minorHAnsi" w:cstheme="minorHAnsi"/>
                <w:iCs/>
                <w:sz w:val="22"/>
                <w:szCs w:val="22"/>
              </w:rPr>
              <w:t xml:space="preserve"> communities ha</w:t>
            </w:r>
            <w:r w:rsidR="00551884">
              <w:rPr>
                <w:rFonts w:asciiTheme="minorHAnsi" w:hAnsiTheme="minorHAnsi" w:cstheme="minorHAnsi"/>
                <w:iCs/>
                <w:sz w:val="22"/>
                <w:szCs w:val="22"/>
              </w:rPr>
              <w:t>ve</w:t>
            </w:r>
            <w:r w:rsidRPr="00C859FE">
              <w:rPr>
                <w:rFonts w:asciiTheme="minorHAnsi" w:hAnsiTheme="minorHAnsi" w:cstheme="minorHAnsi"/>
                <w:iCs/>
                <w:sz w:val="22"/>
                <w:szCs w:val="22"/>
              </w:rPr>
              <w:t xml:space="preserve"> limited influence over land allocation, project design, and benefit distribution. This tension between national development priorities and local land security represents a structural development challenge</w:t>
            </w:r>
            <w:r>
              <w:rPr>
                <w:rFonts w:asciiTheme="minorHAnsi" w:hAnsiTheme="minorHAnsi" w:cstheme="minorHAnsi"/>
                <w:iCs/>
                <w:sz w:val="22"/>
                <w:szCs w:val="22"/>
              </w:rPr>
              <w:t xml:space="preserve"> and </w:t>
            </w:r>
            <w:r w:rsidRPr="00C859FE">
              <w:rPr>
                <w:rFonts w:asciiTheme="minorHAnsi" w:hAnsiTheme="minorHAnsi" w:cstheme="minorHAnsi"/>
                <w:iCs/>
                <w:sz w:val="22"/>
                <w:szCs w:val="22"/>
              </w:rPr>
              <w:t xml:space="preserve">not </w:t>
            </w:r>
            <w:r>
              <w:rPr>
                <w:rFonts w:asciiTheme="minorHAnsi" w:hAnsiTheme="minorHAnsi" w:cstheme="minorHAnsi"/>
                <w:iCs/>
                <w:sz w:val="22"/>
                <w:szCs w:val="22"/>
              </w:rPr>
              <w:t xml:space="preserve">an isolated </w:t>
            </w:r>
            <w:r w:rsidRPr="00C859FE">
              <w:rPr>
                <w:rFonts w:asciiTheme="minorHAnsi" w:hAnsiTheme="minorHAnsi" w:cstheme="minorHAnsi"/>
                <w:iCs/>
                <w:sz w:val="22"/>
                <w:szCs w:val="22"/>
              </w:rPr>
              <w:t>project-level implementation problem</w:t>
            </w:r>
            <w:r>
              <w:rPr>
                <w:rFonts w:asciiTheme="minorHAnsi" w:hAnsiTheme="minorHAnsi" w:cstheme="minorHAnsi"/>
                <w:iCs/>
                <w:sz w:val="22"/>
                <w:szCs w:val="22"/>
              </w:rPr>
              <w:t>.</w:t>
            </w:r>
            <w:r w:rsidR="00DC1DBD">
              <w:rPr>
                <w:rFonts w:asciiTheme="minorHAnsi" w:hAnsiTheme="minorHAnsi" w:cstheme="minorHAnsi"/>
                <w:iCs/>
                <w:sz w:val="22"/>
                <w:szCs w:val="22"/>
              </w:rPr>
              <w:t xml:space="preserve"> </w:t>
            </w:r>
          </w:p>
          <w:p w14:paraId="03317FFE" w14:textId="661C65A2" w:rsidR="0091583D" w:rsidRDefault="00DC1DBD" w:rsidP="003C30B0">
            <w:pPr>
              <w:pStyle w:val="BulletPoints"/>
              <w:numPr>
                <w:ilvl w:val="0"/>
                <w:numId w:val="0"/>
              </w:numPr>
              <w:spacing w:after="0"/>
              <w:ind w:firstLine="346"/>
              <w:rPr>
                <w:rFonts w:asciiTheme="minorHAnsi" w:hAnsiTheme="minorHAnsi" w:cstheme="minorHAnsi"/>
                <w:iCs/>
                <w:sz w:val="22"/>
                <w:szCs w:val="22"/>
              </w:rPr>
            </w:pPr>
            <w:r>
              <w:rPr>
                <w:rFonts w:asciiTheme="minorHAnsi" w:hAnsiTheme="minorHAnsi" w:cstheme="minorHAnsi"/>
                <w:iCs/>
                <w:sz w:val="22"/>
                <w:szCs w:val="22"/>
              </w:rPr>
              <w:t xml:space="preserve">The </w:t>
            </w:r>
            <w:r w:rsidR="00534B02">
              <w:rPr>
                <w:rFonts w:asciiTheme="minorHAnsi" w:hAnsiTheme="minorHAnsi" w:cstheme="minorHAnsi"/>
                <w:iCs/>
                <w:sz w:val="22"/>
                <w:szCs w:val="22"/>
              </w:rPr>
              <w:t xml:space="preserve">figures </w:t>
            </w:r>
            <w:r w:rsidR="00A140E3">
              <w:rPr>
                <w:rFonts w:asciiTheme="minorHAnsi" w:hAnsiTheme="minorHAnsi" w:cstheme="minorHAnsi"/>
                <w:iCs/>
                <w:sz w:val="22"/>
                <w:szCs w:val="22"/>
              </w:rPr>
              <w:t>below provide a visual context of the st</w:t>
            </w:r>
            <w:r w:rsidR="00E044A4">
              <w:rPr>
                <w:rFonts w:asciiTheme="minorHAnsi" w:hAnsiTheme="minorHAnsi" w:cstheme="minorHAnsi"/>
                <w:iCs/>
                <w:sz w:val="22"/>
                <w:szCs w:val="22"/>
              </w:rPr>
              <w:t xml:space="preserve">udy. The </w:t>
            </w:r>
            <w:r>
              <w:rPr>
                <w:rFonts w:asciiTheme="minorHAnsi" w:hAnsiTheme="minorHAnsi" w:cstheme="minorHAnsi"/>
                <w:iCs/>
                <w:sz w:val="22"/>
                <w:szCs w:val="22"/>
              </w:rPr>
              <w:t xml:space="preserve">map </w:t>
            </w:r>
            <w:r w:rsidR="004C3EA1">
              <w:rPr>
                <w:rFonts w:asciiTheme="minorHAnsi" w:hAnsiTheme="minorHAnsi" w:cstheme="minorHAnsi"/>
                <w:iCs/>
                <w:sz w:val="22"/>
                <w:szCs w:val="22"/>
              </w:rPr>
              <w:t>locates Kenya and Turkana County</w:t>
            </w:r>
            <w:r w:rsidR="00A451FD">
              <w:rPr>
                <w:rFonts w:asciiTheme="minorHAnsi" w:hAnsiTheme="minorHAnsi" w:cstheme="minorHAnsi"/>
                <w:iCs/>
                <w:sz w:val="22"/>
                <w:szCs w:val="22"/>
              </w:rPr>
              <w:t xml:space="preserve"> </w:t>
            </w:r>
            <w:r w:rsidR="00A451FD" w:rsidRPr="00A451FD">
              <w:rPr>
                <w:rFonts w:asciiTheme="minorHAnsi" w:hAnsiTheme="minorHAnsi" w:cstheme="minorHAnsi"/>
                <w:iCs/>
                <w:sz w:val="22"/>
                <w:szCs w:val="22"/>
              </w:rPr>
              <w:t>(</w:t>
            </w:r>
            <w:r w:rsidR="00A451FD" w:rsidRPr="00A451FD">
              <w:rPr>
                <w:rFonts w:asciiTheme="minorHAnsi" w:hAnsiTheme="minorHAnsi" w:cstheme="minorHAnsi"/>
                <w:i/>
                <w:iCs/>
                <w:sz w:val="22"/>
                <w:szCs w:val="22"/>
              </w:rPr>
              <w:t>see fig 1</w:t>
            </w:r>
            <w:r w:rsidR="00276B5A">
              <w:rPr>
                <w:rFonts w:asciiTheme="minorHAnsi" w:hAnsiTheme="minorHAnsi" w:cstheme="minorHAnsi"/>
                <w:sz w:val="22"/>
                <w:szCs w:val="22"/>
              </w:rPr>
              <w:t>)</w:t>
            </w:r>
            <w:r>
              <w:rPr>
                <w:rFonts w:asciiTheme="minorHAnsi" w:hAnsiTheme="minorHAnsi" w:cstheme="minorHAnsi"/>
                <w:iCs/>
                <w:sz w:val="22"/>
                <w:szCs w:val="22"/>
              </w:rPr>
              <w:t xml:space="preserve">, </w:t>
            </w:r>
            <w:r w:rsidR="00250CA6">
              <w:rPr>
                <w:rFonts w:asciiTheme="minorHAnsi" w:hAnsiTheme="minorHAnsi" w:cstheme="minorHAnsi"/>
                <w:iCs/>
                <w:sz w:val="22"/>
                <w:szCs w:val="22"/>
              </w:rPr>
              <w:t xml:space="preserve">while the </w:t>
            </w:r>
            <w:r w:rsidR="004C3EA1">
              <w:rPr>
                <w:rFonts w:asciiTheme="minorHAnsi" w:hAnsiTheme="minorHAnsi" w:cstheme="minorHAnsi"/>
                <w:iCs/>
                <w:sz w:val="22"/>
                <w:szCs w:val="22"/>
              </w:rPr>
              <w:t>image illustrat</w:t>
            </w:r>
            <w:r w:rsidR="00193EB5">
              <w:rPr>
                <w:rFonts w:asciiTheme="minorHAnsi" w:hAnsiTheme="minorHAnsi" w:cstheme="minorHAnsi"/>
                <w:iCs/>
                <w:sz w:val="22"/>
                <w:szCs w:val="22"/>
              </w:rPr>
              <w:t>es</w:t>
            </w:r>
            <w:r w:rsidR="004C3EA1">
              <w:rPr>
                <w:rFonts w:asciiTheme="minorHAnsi" w:hAnsiTheme="minorHAnsi" w:cstheme="minorHAnsi"/>
                <w:iCs/>
                <w:sz w:val="22"/>
                <w:szCs w:val="22"/>
              </w:rPr>
              <w:t xml:space="preserve"> conditions at one of the study sites</w:t>
            </w:r>
            <w:r w:rsidR="007F54AD">
              <w:rPr>
                <w:rFonts w:asciiTheme="minorHAnsi" w:hAnsiTheme="minorHAnsi" w:cstheme="minorHAnsi"/>
                <w:iCs/>
                <w:sz w:val="22"/>
                <w:szCs w:val="22"/>
              </w:rPr>
              <w:t xml:space="preserve"> (</w:t>
            </w:r>
            <w:r w:rsidR="007F54AD" w:rsidRPr="00F21AE2">
              <w:rPr>
                <w:rFonts w:asciiTheme="minorHAnsi" w:hAnsiTheme="minorHAnsi" w:cstheme="minorHAnsi"/>
                <w:i/>
                <w:sz w:val="22"/>
                <w:szCs w:val="22"/>
              </w:rPr>
              <w:t xml:space="preserve">see fig </w:t>
            </w:r>
            <w:r w:rsidR="00163EDA">
              <w:rPr>
                <w:rFonts w:asciiTheme="minorHAnsi" w:hAnsiTheme="minorHAnsi" w:cstheme="minorHAnsi"/>
                <w:i/>
                <w:sz w:val="22"/>
                <w:szCs w:val="22"/>
              </w:rPr>
              <w:t>2</w:t>
            </w:r>
            <w:r w:rsidR="00F21AE2">
              <w:rPr>
                <w:rFonts w:asciiTheme="minorHAnsi" w:hAnsiTheme="minorHAnsi" w:cstheme="minorHAnsi"/>
                <w:iCs/>
                <w:sz w:val="22"/>
                <w:szCs w:val="22"/>
              </w:rPr>
              <w:t>).</w:t>
            </w:r>
          </w:p>
          <w:p w14:paraId="2245EB7E" w14:textId="6DD3B440" w:rsidR="0091583D" w:rsidRDefault="00D402DE" w:rsidP="0091583D">
            <w:pPr>
              <w:pStyle w:val="BulletPoints"/>
              <w:numPr>
                <w:ilvl w:val="0"/>
                <w:numId w:val="0"/>
              </w:numPr>
              <w:spacing w:after="0"/>
              <w:ind w:left="9234" w:hanging="720"/>
              <w:rPr>
                <w:rFonts w:asciiTheme="minorHAnsi" w:hAnsiTheme="minorHAnsi" w:cstheme="minorHAnsi"/>
                <w:iCs/>
                <w:sz w:val="22"/>
                <w:szCs w:val="22"/>
              </w:rPr>
            </w:pPr>
            <w:r>
              <w:rPr>
                <w:rFonts w:ascii="Calibri" w:hAnsi="Calibri" w:cs="Calibri"/>
                <w:iCs/>
                <w:noProof/>
                <w:sz w:val="22"/>
                <w:szCs w:val="22"/>
              </w:rPr>
              <w:drawing>
                <wp:anchor distT="0" distB="0" distL="114300" distR="114300" simplePos="0" relativeHeight="251658240" behindDoc="0" locked="0" layoutInCell="1" allowOverlap="1" wp14:anchorId="783C9B2A" wp14:editId="6B6EF4EC">
                  <wp:simplePos x="0" y="0"/>
                  <wp:positionH relativeFrom="column">
                    <wp:posOffset>-46990</wp:posOffset>
                  </wp:positionH>
                  <wp:positionV relativeFrom="paragraph">
                    <wp:posOffset>254000</wp:posOffset>
                  </wp:positionV>
                  <wp:extent cx="3130550" cy="1590675"/>
                  <wp:effectExtent l="19050" t="19050" r="12700" b="28575"/>
                  <wp:wrapThrough wrapText="bothSides">
                    <wp:wrapPolygon edited="0">
                      <wp:start x="-131" y="-259"/>
                      <wp:lineTo x="-131" y="21729"/>
                      <wp:lineTo x="21556" y="21729"/>
                      <wp:lineTo x="21556" y="-259"/>
                      <wp:lineTo x="-131" y="-259"/>
                    </wp:wrapPolygon>
                  </wp:wrapThrough>
                  <wp:docPr id="13809397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182"/>
                          <a:stretch>
                            <a:fillRect/>
                          </a:stretch>
                        </pic:blipFill>
                        <pic:spPr bwMode="auto">
                          <a:xfrm>
                            <a:off x="0" y="0"/>
                            <a:ext cx="3130550" cy="15906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C4D5E3" w14:textId="32B1E610" w:rsidR="006619FF" w:rsidRPr="003C30B0" w:rsidRDefault="00264529" w:rsidP="00264529">
            <w:pPr>
              <w:pStyle w:val="BulletPoints"/>
              <w:numPr>
                <w:ilvl w:val="0"/>
                <w:numId w:val="0"/>
              </w:numPr>
              <w:spacing w:after="0"/>
              <w:rPr>
                <w:rFonts w:ascii="Calibri" w:hAnsi="Calibri" w:cs="Calibri"/>
                <w:iCs/>
                <w:color w:val="864EA8" w:themeColor="accent1" w:themeShade="BF"/>
                <w:sz w:val="20"/>
              </w:rPr>
            </w:pPr>
            <w:r w:rsidRPr="003C30B0">
              <w:rPr>
                <w:rFonts w:ascii="Calibri" w:hAnsi="Calibri" w:cs="Calibri"/>
                <w:i/>
                <w:iCs/>
                <w:color w:val="864EA8" w:themeColor="accent1" w:themeShade="BF"/>
                <w:sz w:val="20"/>
                <w:lang w:val="en-US"/>
              </w:rPr>
              <w:t xml:space="preserve">Fig </w:t>
            </w:r>
            <w:r w:rsidR="004C3EA1" w:rsidRPr="003C30B0">
              <w:rPr>
                <w:rFonts w:ascii="Calibri" w:hAnsi="Calibri" w:cs="Calibri"/>
                <w:i/>
                <w:iCs/>
                <w:color w:val="864EA8" w:themeColor="accent1" w:themeShade="BF"/>
                <w:sz w:val="20"/>
                <w:lang w:val="en-US"/>
              </w:rPr>
              <w:t>1</w:t>
            </w:r>
            <w:r w:rsidRPr="003C30B0">
              <w:rPr>
                <w:rFonts w:ascii="Calibri" w:hAnsi="Calibri" w:cs="Calibri"/>
                <w:i/>
                <w:iCs/>
                <w:color w:val="864EA8" w:themeColor="accent1" w:themeShade="BF"/>
                <w:sz w:val="20"/>
                <w:lang w:val="en-US"/>
              </w:rPr>
              <w:t xml:space="preserve">: Map showing the location of Kenya </w:t>
            </w:r>
            <w:r w:rsidR="007F6BDC" w:rsidRPr="003C30B0">
              <w:rPr>
                <w:rFonts w:ascii="Calibri" w:hAnsi="Calibri" w:cs="Calibri"/>
                <w:i/>
                <w:iCs/>
                <w:color w:val="864EA8" w:themeColor="accent1" w:themeShade="BF"/>
                <w:sz w:val="20"/>
                <w:lang w:val="en-US"/>
              </w:rPr>
              <w:t>(</w:t>
            </w:r>
            <w:r w:rsidRPr="003C30B0">
              <w:rPr>
                <w:rFonts w:ascii="Calibri" w:hAnsi="Calibri" w:cs="Calibri"/>
                <w:i/>
                <w:iCs/>
                <w:color w:val="864EA8" w:themeColor="accent1" w:themeShade="BF"/>
                <w:sz w:val="20"/>
                <w:lang w:val="en-US"/>
              </w:rPr>
              <w:t>left</w:t>
            </w:r>
            <w:r w:rsidR="007F6BDC" w:rsidRPr="003C30B0">
              <w:rPr>
                <w:rFonts w:ascii="Calibri" w:hAnsi="Calibri" w:cs="Calibri"/>
                <w:i/>
                <w:iCs/>
                <w:color w:val="864EA8" w:themeColor="accent1" w:themeShade="BF"/>
                <w:sz w:val="20"/>
                <w:lang w:val="en-US"/>
              </w:rPr>
              <w:t xml:space="preserve">) and the </w:t>
            </w:r>
            <w:r w:rsidR="00131154" w:rsidRPr="003C30B0">
              <w:rPr>
                <w:rFonts w:ascii="Calibri" w:hAnsi="Calibri" w:cs="Calibri"/>
                <w:i/>
                <w:iCs/>
                <w:color w:val="864EA8" w:themeColor="accent1" w:themeShade="BF"/>
                <w:sz w:val="20"/>
                <w:lang w:val="en-US"/>
              </w:rPr>
              <w:t>position of</w:t>
            </w:r>
            <w:r w:rsidRPr="003C30B0">
              <w:rPr>
                <w:rFonts w:ascii="Calibri" w:hAnsi="Calibri" w:cs="Calibri"/>
                <w:i/>
                <w:iCs/>
                <w:color w:val="864EA8" w:themeColor="accent1" w:themeShade="BF"/>
                <w:sz w:val="20"/>
                <w:lang w:val="en-US"/>
              </w:rPr>
              <w:t xml:space="preserve"> Turkana County</w:t>
            </w:r>
            <w:r w:rsidR="007F6BDC" w:rsidRPr="003C30B0">
              <w:rPr>
                <w:rFonts w:ascii="Calibri" w:hAnsi="Calibri" w:cs="Calibri"/>
                <w:i/>
                <w:iCs/>
                <w:color w:val="864EA8" w:themeColor="accent1" w:themeShade="BF"/>
                <w:sz w:val="20"/>
                <w:lang w:val="en-US"/>
              </w:rPr>
              <w:t xml:space="preserve"> within the country (right)</w:t>
            </w:r>
            <w:r w:rsidR="00DC1DBD" w:rsidRPr="003C30B0">
              <w:rPr>
                <w:rFonts w:ascii="Calibri" w:hAnsi="Calibri" w:cs="Calibri"/>
                <w:i/>
                <w:iCs/>
                <w:color w:val="864EA8" w:themeColor="accent1" w:themeShade="BF"/>
                <w:sz w:val="20"/>
                <w:lang w:val="en-US"/>
              </w:rPr>
              <w:t>.</w:t>
            </w:r>
          </w:p>
          <w:p w14:paraId="18438E8E" w14:textId="6630825B" w:rsidR="006619FF" w:rsidRPr="00695E42" w:rsidRDefault="006619FF" w:rsidP="00695E42">
            <w:pPr>
              <w:pStyle w:val="BulletPoints"/>
              <w:numPr>
                <w:ilvl w:val="0"/>
                <w:numId w:val="0"/>
              </w:numPr>
              <w:spacing w:after="0"/>
              <w:ind w:firstLine="346"/>
              <w:rPr>
                <w:rFonts w:ascii="Calibri" w:hAnsi="Calibri" w:cs="Calibri"/>
                <w:iCs/>
                <w:sz w:val="22"/>
                <w:szCs w:val="22"/>
              </w:rPr>
            </w:pPr>
          </w:p>
          <w:p w14:paraId="4B481510" w14:textId="3A72ACE6" w:rsidR="00342380" w:rsidRDefault="00342380" w:rsidP="00633096">
            <w:pPr>
              <w:pStyle w:val="BulletPoints"/>
              <w:numPr>
                <w:ilvl w:val="0"/>
                <w:numId w:val="0"/>
              </w:numPr>
              <w:spacing w:after="0"/>
              <w:rPr>
                <w:rFonts w:asciiTheme="minorHAnsi" w:hAnsiTheme="minorHAnsi" w:cstheme="minorHAnsi"/>
                <w:iCs/>
                <w:sz w:val="22"/>
                <w:szCs w:val="22"/>
              </w:rPr>
            </w:pPr>
          </w:p>
          <w:p w14:paraId="38310256" w14:textId="75D8DCFE" w:rsidR="00855ABF" w:rsidRDefault="003017BD" w:rsidP="00633096">
            <w:pPr>
              <w:pStyle w:val="BulletPoints"/>
              <w:numPr>
                <w:ilvl w:val="0"/>
                <w:numId w:val="0"/>
              </w:numPr>
              <w:spacing w:after="0"/>
              <w:rPr>
                <w:rFonts w:ascii="Calibri" w:hAnsi="Calibri" w:cs="Calibri"/>
                <w:iCs/>
                <w:sz w:val="22"/>
                <w:szCs w:val="22"/>
              </w:rPr>
            </w:pPr>
            <w:r>
              <w:rPr>
                <w:noProof/>
              </w:rPr>
              <w:drawing>
                <wp:inline distT="0" distB="0" distL="0" distR="0" wp14:anchorId="1BA303F9" wp14:editId="51FF0459">
                  <wp:extent cx="3062617" cy="1692432"/>
                  <wp:effectExtent l="0" t="0" r="4445" b="3175"/>
                  <wp:docPr id="169625022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6250224" name="Picture 4"/>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3062617" cy="1692432"/>
                          </a:xfrm>
                          <a:prstGeom prst="rect">
                            <a:avLst/>
                          </a:prstGeom>
                        </pic:spPr>
                      </pic:pic>
                    </a:graphicData>
                  </a:graphic>
                </wp:inline>
              </w:drawing>
            </w:r>
          </w:p>
          <w:p w14:paraId="2261D071" w14:textId="77777777" w:rsidR="003017BD" w:rsidRDefault="003017BD" w:rsidP="00633096">
            <w:pPr>
              <w:pStyle w:val="BulletPoints"/>
              <w:numPr>
                <w:ilvl w:val="0"/>
                <w:numId w:val="0"/>
              </w:numPr>
              <w:spacing w:after="0"/>
              <w:rPr>
                <w:rFonts w:ascii="Calibri" w:hAnsi="Calibri" w:cs="Calibri"/>
                <w:iCs/>
                <w:sz w:val="22"/>
                <w:szCs w:val="22"/>
              </w:rPr>
            </w:pPr>
          </w:p>
          <w:p w14:paraId="7F8BA1D1" w14:textId="5EA96877" w:rsidR="00855ABF" w:rsidRPr="003C30B0" w:rsidRDefault="008D3775" w:rsidP="00227EE9">
            <w:pPr>
              <w:pStyle w:val="BulletPoints"/>
              <w:numPr>
                <w:ilvl w:val="0"/>
                <w:numId w:val="0"/>
              </w:numPr>
              <w:spacing w:after="0"/>
              <w:rPr>
                <w:rFonts w:asciiTheme="minorHAnsi" w:hAnsiTheme="minorHAnsi" w:cstheme="minorHAnsi"/>
                <w:i/>
                <w:color w:val="864EA8" w:themeColor="accent1" w:themeShade="BF"/>
                <w:sz w:val="20"/>
              </w:rPr>
            </w:pPr>
            <w:r w:rsidRPr="003C30B0">
              <w:rPr>
                <w:rFonts w:asciiTheme="minorHAnsi" w:hAnsiTheme="minorHAnsi" w:cstheme="minorHAnsi"/>
                <w:i/>
                <w:color w:val="864EA8" w:themeColor="accent1" w:themeShade="BF"/>
                <w:sz w:val="20"/>
              </w:rPr>
              <w:t xml:space="preserve">Fig </w:t>
            </w:r>
            <w:r w:rsidR="00847DDE">
              <w:rPr>
                <w:rFonts w:asciiTheme="minorHAnsi" w:hAnsiTheme="minorHAnsi" w:cstheme="minorHAnsi"/>
                <w:i/>
                <w:color w:val="864EA8" w:themeColor="accent1" w:themeShade="BF"/>
                <w:sz w:val="20"/>
              </w:rPr>
              <w:t>2</w:t>
            </w:r>
            <w:r w:rsidRPr="003C30B0">
              <w:rPr>
                <w:rFonts w:asciiTheme="minorHAnsi" w:hAnsiTheme="minorHAnsi" w:cstheme="minorHAnsi"/>
                <w:i/>
                <w:color w:val="864EA8" w:themeColor="accent1" w:themeShade="BF"/>
                <w:sz w:val="20"/>
              </w:rPr>
              <w:t xml:space="preserve">: </w:t>
            </w:r>
            <w:r w:rsidR="00855ABF" w:rsidRPr="003C30B0">
              <w:rPr>
                <w:rFonts w:asciiTheme="minorHAnsi" w:hAnsiTheme="minorHAnsi" w:cstheme="minorHAnsi"/>
                <w:i/>
                <w:color w:val="864EA8" w:themeColor="accent1" w:themeShade="BF"/>
                <w:sz w:val="20"/>
              </w:rPr>
              <w:t xml:space="preserve">Pastoralist homes (Manyattas) in Turkana County, a </w:t>
            </w:r>
            <w:r w:rsidR="008D7D17" w:rsidRPr="003C30B0">
              <w:rPr>
                <w:rFonts w:asciiTheme="minorHAnsi" w:hAnsiTheme="minorHAnsi" w:cstheme="minorHAnsi"/>
                <w:i/>
                <w:color w:val="864EA8" w:themeColor="accent1" w:themeShade="BF"/>
                <w:sz w:val="20"/>
              </w:rPr>
              <w:t>climate</w:t>
            </w:r>
            <w:r w:rsidR="008D7D17">
              <w:rPr>
                <w:rFonts w:asciiTheme="minorHAnsi" w:hAnsiTheme="minorHAnsi" w:cstheme="minorHAnsi"/>
                <w:i/>
                <w:color w:val="864EA8" w:themeColor="accent1" w:themeShade="BF"/>
                <w:sz w:val="20"/>
              </w:rPr>
              <w:t>-</w:t>
            </w:r>
            <w:r w:rsidR="00855ABF" w:rsidRPr="003C30B0">
              <w:rPr>
                <w:rFonts w:asciiTheme="minorHAnsi" w:hAnsiTheme="minorHAnsi" w:cstheme="minorHAnsi"/>
                <w:i/>
                <w:color w:val="864EA8" w:themeColor="accent1" w:themeShade="BF"/>
                <w:sz w:val="20"/>
              </w:rPr>
              <w:t>vulnerable region where access to land, water and grazing underpins everyday survival</w:t>
            </w:r>
            <w:r w:rsidR="003C3FD0" w:rsidRPr="003C30B0">
              <w:rPr>
                <w:rFonts w:asciiTheme="minorHAnsi" w:hAnsiTheme="minorHAnsi" w:cstheme="minorHAnsi"/>
                <w:i/>
                <w:color w:val="864EA8" w:themeColor="accent1" w:themeShade="BF"/>
                <w:sz w:val="20"/>
              </w:rPr>
              <w:t xml:space="preserve">. </w:t>
            </w:r>
            <w:r w:rsidR="003C30B0">
              <w:rPr>
                <w:rFonts w:asciiTheme="minorHAnsi" w:hAnsiTheme="minorHAnsi" w:cstheme="minorHAnsi"/>
                <w:i/>
                <w:color w:val="864EA8" w:themeColor="accent1" w:themeShade="BF"/>
                <w:sz w:val="20"/>
              </w:rPr>
              <w:t xml:space="preserve">(Source: </w:t>
            </w:r>
            <w:r w:rsidR="00855ABF" w:rsidRPr="003C30B0">
              <w:rPr>
                <w:rFonts w:asciiTheme="minorHAnsi" w:hAnsiTheme="minorHAnsi" w:cstheme="minorHAnsi"/>
                <w:i/>
                <w:color w:val="864EA8" w:themeColor="accent1" w:themeShade="BF"/>
                <w:sz w:val="20"/>
              </w:rPr>
              <w:t>Author</w:t>
            </w:r>
            <w:r w:rsidR="003C30B0">
              <w:rPr>
                <w:rFonts w:asciiTheme="minorHAnsi" w:hAnsiTheme="minorHAnsi" w:cstheme="minorHAnsi"/>
                <w:i/>
                <w:color w:val="864EA8" w:themeColor="accent1" w:themeShade="BF"/>
                <w:sz w:val="20"/>
              </w:rPr>
              <w:t xml:space="preserve">, </w:t>
            </w:r>
            <w:r w:rsidR="003C3FD0" w:rsidRPr="003C30B0">
              <w:rPr>
                <w:rFonts w:asciiTheme="minorHAnsi" w:hAnsiTheme="minorHAnsi" w:cstheme="minorHAnsi"/>
                <w:i/>
                <w:color w:val="864EA8" w:themeColor="accent1" w:themeShade="BF"/>
                <w:sz w:val="20"/>
              </w:rPr>
              <w:t>2024).</w:t>
            </w:r>
          </w:p>
          <w:p w14:paraId="5A1184FB" w14:textId="77777777" w:rsidR="007E3C55" w:rsidRPr="00D90EA2" w:rsidRDefault="007E3C55" w:rsidP="00227EE9">
            <w:pPr>
              <w:pStyle w:val="BulletPoints"/>
              <w:numPr>
                <w:ilvl w:val="0"/>
                <w:numId w:val="0"/>
              </w:numPr>
              <w:spacing w:after="0"/>
              <w:rPr>
                <w:rFonts w:asciiTheme="minorHAnsi" w:hAnsiTheme="minorHAnsi" w:cstheme="minorHAnsi"/>
                <w:i/>
                <w:color w:val="864EA8" w:themeColor="accent1" w:themeShade="BF"/>
                <w:sz w:val="18"/>
                <w:szCs w:val="18"/>
              </w:rPr>
            </w:pPr>
          </w:p>
          <w:p w14:paraId="203E71F3" w14:textId="54093037" w:rsidR="00CA6FAF" w:rsidRPr="00C9688A" w:rsidRDefault="00CA6FAF"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t>The Research Project</w:t>
            </w:r>
          </w:p>
          <w:p w14:paraId="37F934B2" w14:textId="2419890E" w:rsidR="006344A5" w:rsidRPr="005F1A26" w:rsidRDefault="00660E07" w:rsidP="00DA2703">
            <w:pPr>
              <w:pStyle w:val="BulletPoints"/>
              <w:numPr>
                <w:ilvl w:val="0"/>
                <w:numId w:val="0"/>
              </w:numPr>
              <w:snapToGrid w:val="0"/>
              <w:spacing w:after="0"/>
              <w:rPr>
                <w:rFonts w:asciiTheme="minorHAnsi" w:hAnsiTheme="minorHAnsi" w:cstheme="minorHAnsi"/>
                <w:iCs/>
                <w:sz w:val="22"/>
                <w:szCs w:val="22"/>
              </w:rPr>
            </w:pPr>
            <w:r>
              <w:rPr>
                <w:rFonts w:asciiTheme="minorHAnsi" w:hAnsiTheme="minorHAnsi" w:cstheme="minorHAnsi"/>
                <w:iCs/>
                <w:sz w:val="22"/>
                <w:szCs w:val="22"/>
              </w:rPr>
              <w:t xml:space="preserve">The </w:t>
            </w:r>
            <w:r w:rsidR="00FB5AF7">
              <w:rPr>
                <w:rFonts w:asciiTheme="minorHAnsi" w:hAnsiTheme="minorHAnsi" w:cstheme="minorHAnsi"/>
                <w:iCs/>
                <w:sz w:val="22"/>
                <w:szCs w:val="22"/>
              </w:rPr>
              <w:t>findings</w:t>
            </w:r>
            <w:r>
              <w:rPr>
                <w:rFonts w:asciiTheme="minorHAnsi" w:hAnsiTheme="minorHAnsi" w:cstheme="minorHAnsi"/>
                <w:iCs/>
                <w:sz w:val="22"/>
                <w:szCs w:val="22"/>
              </w:rPr>
              <w:t xml:space="preserve"> draw</w:t>
            </w:r>
            <w:r w:rsidR="00BF6ED6">
              <w:rPr>
                <w:rFonts w:asciiTheme="minorHAnsi" w:hAnsiTheme="minorHAnsi" w:cstheme="minorHAnsi"/>
                <w:iCs/>
                <w:sz w:val="22"/>
                <w:szCs w:val="22"/>
              </w:rPr>
              <w:t xml:space="preserve"> </w:t>
            </w:r>
            <w:r w:rsidR="001C59EA" w:rsidRPr="001C59EA">
              <w:rPr>
                <w:rFonts w:asciiTheme="minorHAnsi" w:hAnsiTheme="minorHAnsi" w:cstheme="minorHAnsi"/>
                <w:iCs/>
                <w:sz w:val="22"/>
                <w:szCs w:val="22"/>
              </w:rPr>
              <w:t>on qualitative field research conducted between August and October 2024 in Turkana and Nairobi</w:t>
            </w:r>
            <w:r w:rsidR="009F1ACE">
              <w:rPr>
                <w:rFonts w:asciiTheme="minorHAnsi" w:hAnsiTheme="minorHAnsi" w:cstheme="minorHAnsi"/>
                <w:iCs/>
                <w:sz w:val="22"/>
                <w:szCs w:val="22"/>
              </w:rPr>
              <w:t xml:space="preserve"> counties</w:t>
            </w:r>
            <w:r w:rsidR="001C59EA" w:rsidRPr="001C59EA">
              <w:rPr>
                <w:rFonts w:asciiTheme="minorHAnsi" w:hAnsiTheme="minorHAnsi" w:cstheme="minorHAnsi"/>
                <w:iCs/>
                <w:sz w:val="22"/>
                <w:szCs w:val="22"/>
              </w:rPr>
              <w:t xml:space="preserve"> as part of a broader doctoral study on extractive governance in Kenya. The </w:t>
            </w:r>
            <w:r>
              <w:rPr>
                <w:rFonts w:asciiTheme="minorHAnsi" w:hAnsiTheme="minorHAnsi" w:cstheme="minorHAnsi"/>
                <w:iCs/>
                <w:sz w:val="22"/>
                <w:szCs w:val="22"/>
              </w:rPr>
              <w:t>methods used</w:t>
            </w:r>
            <w:r w:rsidR="001C59EA" w:rsidRPr="001C59EA">
              <w:rPr>
                <w:rFonts w:asciiTheme="minorHAnsi" w:hAnsiTheme="minorHAnsi" w:cstheme="minorHAnsi"/>
                <w:iCs/>
                <w:sz w:val="22"/>
                <w:szCs w:val="22"/>
              </w:rPr>
              <w:t xml:space="preserve"> included semi-structured interviews with community representatives, civil society organisations, government officials, and industry representatives involved in </w:t>
            </w:r>
            <w:r w:rsidR="00C41AF4">
              <w:rPr>
                <w:rFonts w:asciiTheme="minorHAnsi" w:hAnsiTheme="minorHAnsi" w:cstheme="minorHAnsi"/>
                <w:iCs/>
                <w:sz w:val="22"/>
                <w:szCs w:val="22"/>
              </w:rPr>
              <w:t xml:space="preserve">Kenya’s </w:t>
            </w:r>
            <w:r w:rsidR="001C59EA" w:rsidRPr="001C59EA">
              <w:rPr>
                <w:rFonts w:asciiTheme="minorHAnsi" w:hAnsiTheme="minorHAnsi" w:cstheme="minorHAnsi"/>
                <w:iCs/>
                <w:sz w:val="22"/>
                <w:szCs w:val="22"/>
              </w:rPr>
              <w:t>oil sector</w:t>
            </w:r>
            <w:r w:rsidR="00C41AF4">
              <w:rPr>
                <w:rFonts w:asciiTheme="minorHAnsi" w:hAnsiTheme="minorHAnsi" w:cstheme="minorHAnsi"/>
                <w:iCs/>
                <w:sz w:val="22"/>
                <w:szCs w:val="22"/>
              </w:rPr>
              <w:t>.</w:t>
            </w:r>
            <w:r w:rsidR="00A7163B">
              <w:rPr>
                <w:rFonts w:asciiTheme="minorHAnsi" w:hAnsiTheme="minorHAnsi" w:cstheme="minorHAnsi"/>
                <w:iCs/>
                <w:sz w:val="22"/>
                <w:szCs w:val="22"/>
              </w:rPr>
              <w:t xml:space="preserve"> F</w:t>
            </w:r>
            <w:r w:rsidR="001C59EA" w:rsidRPr="001C59EA">
              <w:rPr>
                <w:rFonts w:asciiTheme="minorHAnsi" w:hAnsiTheme="minorHAnsi" w:cstheme="minorHAnsi"/>
                <w:iCs/>
                <w:sz w:val="22"/>
                <w:szCs w:val="22"/>
              </w:rPr>
              <w:t xml:space="preserve">ield observations and </w:t>
            </w:r>
            <w:r w:rsidR="00A7163B">
              <w:rPr>
                <w:rFonts w:asciiTheme="minorHAnsi" w:hAnsiTheme="minorHAnsi" w:cstheme="minorHAnsi"/>
                <w:iCs/>
                <w:sz w:val="22"/>
                <w:szCs w:val="22"/>
              </w:rPr>
              <w:t xml:space="preserve">a review of relevant </w:t>
            </w:r>
            <w:r w:rsidR="00511983">
              <w:rPr>
                <w:rFonts w:asciiTheme="minorHAnsi" w:hAnsiTheme="minorHAnsi" w:cstheme="minorHAnsi"/>
                <w:iCs/>
                <w:sz w:val="22"/>
                <w:szCs w:val="22"/>
              </w:rPr>
              <w:t xml:space="preserve">policy </w:t>
            </w:r>
            <w:r w:rsidR="001C59EA" w:rsidRPr="001C59EA">
              <w:rPr>
                <w:rFonts w:asciiTheme="minorHAnsi" w:hAnsiTheme="minorHAnsi" w:cstheme="minorHAnsi"/>
                <w:iCs/>
                <w:sz w:val="22"/>
                <w:szCs w:val="22"/>
              </w:rPr>
              <w:t>document</w:t>
            </w:r>
            <w:r w:rsidR="00511983">
              <w:rPr>
                <w:rFonts w:asciiTheme="minorHAnsi" w:hAnsiTheme="minorHAnsi" w:cstheme="minorHAnsi"/>
                <w:iCs/>
                <w:sz w:val="22"/>
                <w:szCs w:val="22"/>
              </w:rPr>
              <w:t>s, legislation and industry reports</w:t>
            </w:r>
            <w:r w:rsidR="001C59EA" w:rsidRPr="001C59EA">
              <w:rPr>
                <w:rFonts w:asciiTheme="minorHAnsi" w:hAnsiTheme="minorHAnsi" w:cstheme="minorHAnsi"/>
                <w:iCs/>
                <w:sz w:val="22"/>
                <w:szCs w:val="22"/>
              </w:rPr>
              <w:t xml:space="preserve"> </w:t>
            </w:r>
            <w:r w:rsidR="008D7D17">
              <w:rPr>
                <w:rFonts w:asciiTheme="minorHAnsi" w:hAnsiTheme="minorHAnsi" w:cstheme="minorHAnsi"/>
                <w:iCs/>
                <w:sz w:val="22"/>
                <w:szCs w:val="22"/>
              </w:rPr>
              <w:t xml:space="preserve">were </w:t>
            </w:r>
            <w:r w:rsidR="00CA48DF">
              <w:rPr>
                <w:rFonts w:asciiTheme="minorHAnsi" w:hAnsiTheme="minorHAnsi" w:cstheme="minorHAnsi"/>
                <w:iCs/>
                <w:sz w:val="22"/>
                <w:szCs w:val="22"/>
              </w:rPr>
              <w:t xml:space="preserve">also undertaken. </w:t>
            </w:r>
            <w:r w:rsidR="001C59EA" w:rsidRPr="001C59EA">
              <w:rPr>
                <w:rFonts w:asciiTheme="minorHAnsi" w:hAnsiTheme="minorHAnsi" w:cstheme="minorHAnsi"/>
                <w:iCs/>
                <w:sz w:val="22"/>
                <w:szCs w:val="22"/>
              </w:rPr>
              <w:t xml:space="preserve">The study focused on communities </w:t>
            </w:r>
            <w:r w:rsidR="00756A69">
              <w:rPr>
                <w:rFonts w:asciiTheme="minorHAnsi" w:hAnsiTheme="minorHAnsi" w:cstheme="minorHAnsi"/>
                <w:iCs/>
                <w:sz w:val="22"/>
                <w:szCs w:val="22"/>
              </w:rPr>
              <w:t xml:space="preserve">located near oil exploration </w:t>
            </w:r>
            <w:r w:rsidR="008271D6">
              <w:rPr>
                <w:rFonts w:asciiTheme="minorHAnsi" w:hAnsiTheme="minorHAnsi" w:cstheme="minorHAnsi"/>
                <w:iCs/>
                <w:sz w:val="22"/>
                <w:szCs w:val="22"/>
              </w:rPr>
              <w:t xml:space="preserve">sites </w:t>
            </w:r>
            <w:r w:rsidR="001C59EA" w:rsidRPr="001C59EA">
              <w:rPr>
                <w:rFonts w:asciiTheme="minorHAnsi" w:hAnsiTheme="minorHAnsi" w:cstheme="minorHAnsi"/>
                <w:iCs/>
                <w:sz w:val="22"/>
                <w:szCs w:val="22"/>
              </w:rPr>
              <w:t>in Turkana South and Turkana East</w:t>
            </w:r>
            <w:r w:rsidR="008271D6">
              <w:rPr>
                <w:rFonts w:asciiTheme="minorHAnsi" w:hAnsiTheme="minorHAnsi" w:cstheme="minorHAnsi"/>
                <w:iCs/>
                <w:sz w:val="22"/>
                <w:szCs w:val="22"/>
              </w:rPr>
              <w:t>, where the impacts of oil development and related infrastr</w:t>
            </w:r>
            <w:r w:rsidR="00747C56">
              <w:rPr>
                <w:rFonts w:asciiTheme="minorHAnsi" w:hAnsiTheme="minorHAnsi" w:cstheme="minorHAnsi"/>
                <w:iCs/>
                <w:sz w:val="22"/>
                <w:szCs w:val="22"/>
              </w:rPr>
              <w:t>ucture projects are most visible</w:t>
            </w:r>
            <w:r w:rsidR="001C59EA">
              <w:rPr>
                <w:rFonts w:asciiTheme="minorHAnsi" w:hAnsiTheme="minorHAnsi" w:cstheme="minorHAnsi"/>
                <w:iCs/>
                <w:sz w:val="22"/>
                <w:szCs w:val="22"/>
              </w:rPr>
              <w:t xml:space="preserve">. At </w:t>
            </w:r>
            <w:r w:rsidR="004311E3" w:rsidRPr="004311E3">
              <w:rPr>
                <w:rFonts w:asciiTheme="minorHAnsi" w:hAnsiTheme="minorHAnsi" w:cstheme="minorHAnsi"/>
                <w:iCs/>
                <w:sz w:val="22"/>
                <w:szCs w:val="22"/>
              </w:rPr>
              <w:t>the time of fieldwork, full-scale oil production had not yet begun. The findings therefore focus on governance conditions during exploration and early implementation</w:t>
            </w:r>
            <w:r w:rsidR="002E0462">
              <w:rPr>
                <w:rFonts w:asciiTheme="minorHAnsi" w:hAnsiTheme="minorHAnsi" w:cstheme="minorHAnsi"/>
                <w:iCs/>
                <w:sz w:val="22"/>
                <w:szCs w:val="22"/>
              </w:rPr>
              <w:t xml:space="preserve"> </w:t>
            </w:r>
            <w:r w:rsidR="004311E3" w:rsidRPr="004311E3">
              <w:rPr>
                <w:rFonts w:asciiTheme="minorHAnsi" w:hAnsiTheme="minorHAnsi" w:cstheme="minorHAnsi"/>
                <w:iCs/>
                <w:sz w:val="22"/>
                <w:szCs w:val="22"/>
              </w:rPr>
              <w:t xml:space="preserve">when key decisions about land access, </w:t>
            </w:r>
            <w:r w:rsidR="00B278E0">
              <w:rPr>
                <w:rFonts w:asciiTheme="minorHAnsi" w:hAnsiTheme="minorHAnsi" w:cstheme="minorHAnsi"/>
                <w:iCs/>
                <w:sz w:val="22"/>
                <w:szCs w:val="22"/>
              </w:rPr>
              <w:t>compensation</w:t>
            </w:r>
            <w:r w:rsidR="004311E3" w:rsidRPr="004311E3">
              <w:rPr>
                <w:rFonts w:asciiTheme="minorHAnsi" w:hAnsiTheme="minorHAnsi" w:cstheme="minorHAnsi"/>
                <w:iCs/>
                <w:sz w:val="22"/>
                <w:szCs w:val="22"/>
              </w:rPr>
              <w:t xml:space="preserve"> and benefit-sharing are made</w:t>
            </w:r>
            <w:r w:rsidR="002E0462">
              <w:rPr>
                <w:rFonts w:asciiTheme="minorHAnsi" w:hAnsiTheme="minorHAnsi" w:cstheme="minorHAnsi"/>
                <w:iCs/>
                <w:sz w:val="22"/>
                <w:szCs w:val="22"/>
              </w:rPr>
              <w:t>.</w:t>
            </w:r>
            <w:r w:rsidR="00C021EA">
              <w:rPr>
                <w:rFonts w:asciiTheme="minorHAnsi" w:hAnsiTheme="minorHAnsi" w:cstheme="minorHAnsi"/>
                <w:iCs/>
                <w:sz w:val="22"/>
                <w:szCs w:val="22"/>
              </w:rPr>
              <w:t xml:space="preserve"> </w:t>
            </w:r>
          </w:p>
        </w:tc>
      </w:tr>
      <w:tr w:rsidR="00C9688A" w:rsidRPr="00C9688A" w14:paraId="37F934BF" w14:textId="77777777" w:rsidTr="00831C12">
        <w:tc>
          <w:tcPr>
            <w:tcW w:w="5103" w:type="dxa"/>
          </w:tcPr>
          <w:p w14:paraId="3A3A31A5" w14:textId="0313CF9F" w:rsidR="009A3E49" w:rsidRDefault="00964265" w:rsidP="005C1AF4">
            <w:pPr>
              <w:pStyle w:val="BulletPoints"/>
              <w:numPr>
                <w:ilvl w:val="0"/>
                <w:numId w:val="0"/>
              </w:numPr>
              <w:spacing w:after="0"/>
              <w:ind w:firstLine="340"/>
              <w:rPr>
                <w:rFonts w:asciiTheme="minorHAnsi" w:hAnsiTheme="minorHAnsi" w:cstheme="minorHAnsi"/>
                <w:iCs/>
                <w:sz w:val="22"/>
                <w:szCs w:val="22"/>
              </w:rPr>
            </w:pPr>
            <w:r>
              <w:rPr>
                <w:rFonts w:asciiTheme="minorHAnsi" w:hAnsiTheme="minorHAnsi" w:cstheme="minorHAnsi"/>
                <w:iCs/>
                <w:sz w:val="22"/>
                <w:szCs w:val="22"/>
              </w:rPr>
              <w:lastRenderedPageBreak/>
              <w:t xml:space="preserve"> </w:t>
            </w:r>
            <w:r w:rsidR="00D402F5">
              <w:rPr>
                <w:rFonts w:asciiTheme="minorHAnsi" w:hAnsiTheme="minorHAnsi" w:cstheme="minorHAnsi"/>
                <w:iCs/>
                <w:sz w:val="22"/>
                <w:szCs w:val="22"/>
              </w:rPr>
              <w:t>The</w:t>
            </w:r>
            <w:r w:rsidR="00D402F5" w:rsidRPr="00695E42">
              <w:rPr>
                <w:rFonts w:asciiTheme="minorHAnsi" w:hAnsiTheme="minorHAnsi" w:cstheme="minorHAnsi"/>
                <w:iCs/>
                <w:sz w:val="22"/>
                <w:szCs w:val="22"/>
              </w:rPr>
              <w:t xml:space="preserve"> lack of development benefits </w:t>
            </w:r>
            <w:r w:rsidR="00D402F5">
              <w:rPr>
                <w:rFonts w:asciiTheme="minorHAnsi" w:hAnsiTheme="minorHAnsi" w:cstheme="minorHAnsi"/>
                <w:iCs/>
                <w:sz w:val="22"/>
                <w:szCs w:val="22"/>
              </w:rPr>
              <w:t>attached to</w:t>
            </w:r>
            <w:r w:rsidR="00313E07">
              <w:rPr>
                <w:rFonts w:asciiTheme="minorHAnsi" w:hAnsiTheme="minorHAnsi" w:cstheme="minorHAnsi"/>
                <w:iCs/>
                <w:sz w:val="22"/>
                <w:szCs w:val="22"/>
              </w:rPr>
              <w:t xml:space="preserve"> </w:t>
            </w:r>
            <w:r w:rsidR="00D402F5" w:rsidRPr="00695E42">
              <w:rPr>
                <w:rFonts w:asciiTheme="minorHAnsi" w:hAnsiTheme="minorHAnsi" w:cstheme="minorHAnsi"/>
                <w:iCs/>
                <w:sz w:val="22"/>
                <w:szCs w:val="22"/>
              </w:rPr>
              <w:t>Turkana</w:t>
            </w:r>
            <w:r w:rsidR="00D402F5">
              <w:rPr>
                <w:rFonts w:asciiTheme="minorHAnsi" w:hAnsiTheme="minorHAnsi" w:cstheme="minorHAnsi"/>
                <w:iCs/>
                <w:sz w:val="22"/>
                <w:szCs w:val="22"/>
              </w:rPr>
              <w:t>’s oil project</w:t>
            </w:r>
            <w:r w:rsidR="00D402F5" w:rsidRPr="00695E42">
              <w:rPr>
                <w:rFonts w:asciiTheme="minorHAnsi" w:hAnsiTheme="minorHAnsi" w:cstheme="minorHAnsi"/>
                <w:iCs/>
                <w:sz w:val="22"/>
                <w:szCs w:val="22"/>
              </w:rPr>
              <w:t xml:space="preserve"> </w:t>
            </w:r>
            <w:r w:rsidR="008D7D17">
              <w:rPr>
                <w:rFonts w:asciiTheme="minorHAnsi" w:hAnsiTheme="minorHAnsi" w:cstheme="minorHAnsi"/>
                <w:iCs/>
                <w:sz w:val="22"/>
                <w:szCs w:val="22"/>
              </w:rPr>
              <w:t>is often attributed to weak or absent policies, laws,</w:t>
            </w:r>
            <w:r w:rsidR="00D402F5" w:rsidRPr="00695E42">
              <w:rPr>
                <w:rFonts w:asciiTheme="minorHAnsi" w:hAnsiTheme="minorHAnsi" w:cstheme="minorHAnsi"/>
                <w:iCs/>
                <w:sz w:val="22"/>
                <w:szCs w:val="22"/>
              </w:rPr>
              <w:t xml:space="preserve"> or developmental plans</w:t>
            </w:r>
            <w:r w:rsidR="00D402F5">
              <w:rPr>
                <w:rFonts w:asciiTheme="minorHAnsi" w:hAnsiTheme="minorHAnsi" w:cstheme="minorHAnsi"/>
                <w:iCs/>
                <w:sz w:val="22"/>
                <w:szCs w:val="22"/>
              </w:rPr>
              <w:t>. However, t</w:t>
            </w:r>
            <w:r w:rsidR="00D402F5" w:rsidRPr="00695E42">
              <w:rPr>
                <w:rFonts w:asciiTheme="minorHAnsi" w:hAnsiTheme="minorHAnsi" w:cstheme="minorHAnsi"/>
                <w:iCs/>
                <w:sz w:val="22"/>
                <w:szCs w:val="22"/>
              </w:rPr>
              <w:t xml:space="preserve">his research </w:t>
            </w:r>
            <w:r w:rsidR="00D402F5">
              <w:rPr>
                <w:rFonts w:asciiTheme="minorHAnsi" w:hAnsiTheme="minorHAnsi" w:cstheme="minorHAnsi"/>
                <w:iCs/>
                <w:sz w:val="22"/>
                <w:szCs w:val="22"/>
              </w:rPr>
              <w:t>shows</w:t>
            </w:r>
            <w:r w:rsidR="00D402F5" w:rsidRPr="00695E42">
              <w:rPr>
                <w:rFonts w:asciiTheme="minorHAnsi" w:hAnsiTheme="minorHAnsi" w:cstheme="minorHAnsi"/>
                <w:iCs/>
                <w:sz w:val="22"/>
                <w:szCs w:val="22"/>
              </w:rPr>
              <w:t xml:space="preserve"> that </w:t>
            </w:r>
            <w:r w:rsidR="00D402F5">
              <w:rPr>
                <w:rFonts w:asciiTheme="minorHAnsi" w:hAnsiTheme="minorHAnsi" w:cstheme="minorHAnsi"/>
                <w:iCs/>
                <w:sz w:val="22"/>
                <w:szCs w:val="22"/>
              </w:rPr>
              <w:t xml:space="preserve">disappointing </w:t>
            </w:r>
            <w:r w:rsidR="00D402F5" w:rsidRPr="00695E42">
              <w:rPr>
                <w:rFonts w:asciiTheme="minorHAnsi" w:hAnsiTheme="minorHAnsi" w:cstheme="minorHAnsi"/>
                <w:iCs/>
                <w:sz w:val="22"/>
                <w:szCs w:val="22"/>
              </w:rPr>
              <w:t>development outcomes</w:t>
            </w:r>
            <w:r w:rsidR="00D402F5">
              <w:rPr>
                <w:rFonts w:asciiTheme="minorHAnsi" w:hAnsiTheme="minorHAnsi" w:cstheme="minorHAnsi"/>
                <w:iCs/>
                <w:sz w:val="22"/>
                <w:szCs w:val="22"/>
              </w:rPr>
              <w:t xml:space="preserve"> </w:t>
            </w:r>
            <w:r w:rsidR="004C763C">
              <w:rPr>
                <w:rFonts w:asciiTheme="minorHAnsi" w:hAnsiTheme="minorHAnsi" w:cstheme="minorHAnsi"/>
                <w:iCs/>
                <w:sz w:val="22"/>
                <w:szCs w:val="22"/>
              </w:rPr>
              <w:t>arise</w:t>
            </w:r>
            <w:r w:rsidR="005F1A26" w:rsidRPr="00EA32D0">
              <w:rPr>
                <w:rFonts w:asciiTheme="minorHAnsi" w:hAnsiTheme="minorHAnsi" w:cstheme="minorHAnsi"/>
                <w:iCs/>
                <w:sz w:val="22"/>
                <w:szCs w:val="22"/>
              </w:rPr>
              <w:t xml:space="preserve"> because </w:t>
            </w:r>
            <w:r w:rsidR="00E23E34" w:rsidRPr="00EA32D0">
              <w:rPr>
                <w:rFonts w:asciiTheme="minorHAnsi" w:hAnsiTheme="minorHAnsi" w:cstheme="minorHAnsi"/>
                <w:iCs/>
                <w:sz w:val="22"/>
                <w:szCs w:val="22"/>
              </w:rPr>
              <w:t xml:space="preserve">key </w:t>
            </w:r>
            <w:r w:rsidR="005F1A26" w:rsidRPr="00EA32D0">
              <w:rPr>
                <w:rFonts w:asciiTheme="minorHAnsi" w:hAnsiTheme="minorHAnsi" w:cstheme="minorHAnsi"/>
                <w:iCs/>
                <w:sz w:val="22"/>
                <w:szCs w:val="22"/>
              </w:rPr>
              <w:t>decision</w:t>
            </w:r>
            <w:r w:rsidR="00E23E34" w:rsidRPr="00EA32D0">
              <w:rPr>
                <w:rFonts w:asciiTheme="minorHAnsi" w:hAnsiTheme="minorHAnsi" w:cstheme="minorHAnsi"/>
                <w:iCs/>
                <w:sz w:val="22"/>
                <w:szCs w:val="22"/>
              </w:rPr>
              <w:t>s are made</w:t>
            </w:r>
            <w:r w:rsidR="00151CE9" w:rsidRPr="00EA32D0">
              <w:rPr>
                <w:rFonts w:asciiTheme="minorHAnsi" w:hAnsiTheme="minorHAnsi" w:cstheme="minorHAnsi"/>
                <w:iCs/>
                <w:sz w:val="22"/>
                <w:szCs w:val="22"/>
              </w:rPr>
              <w:t xml:space="preserve"> </w:t>
            </w:r>
            <w:r w:rsidR="005F1A26" w:rsidRPr="00EA32D0">
              <w:rPr>
                <w:rFonts w:asciiTheme="minorHAnsi" w:hAnsiTheme="minorHAnsi" w:cstheme="minorHAnsi"/>
                <w:iCs/>
                <w:sz w:val="22"/>
                <w:szCs w:val="22"/>
              </w:rPr>
              <w:t>far from affected communities, before land rights are secured, and without enforceable local accountability</w:t>
            </w:r>
            <w:r w:rsidR="00847DDE">
              <w:rPr>
                <w:rFonts w:asciiTheme="minorHAnsi" w:hAnsiTheme="minorHAnsi" w:cstheme="minorHAnsi"/>
                <w:iCs/>
                <w:sz w:val="22"/>
                <w:szCs w:val="22"/>
              </w:rPr>
              <w:t>.</w:t>
            </w:r>
          </w:p>
          <w:p w14:paraId="5CC178CC" w14:textId="77777777" w:rsidR="008F7461" w:rsidRDefault="008F7461" w:rsidP="005C1AF4">
            <w:pPr>
              <w:pStyle w:val="BulletPoints"/>
              <w:numPr>
                <w:ilvl w:val="0"/>
                <w:numId w:val="0"/>
              </w:numPr>
              <w:spacing w:after="0"/>
              <w:ind w:firstLine="340"/>
              <w:rPr>
                <w:rFonts w:asciiTheme="minorHAnsi" w:hAnsiTheme="minorHAnsi" w:cstheme="minorHAnsi"/>
                <w:iCs/>
                <w:sz w:val="22"/>
                <w:szCs w:val="22"/>
              </w:rPr>
            </w:pPr>
          </w:p>
          <w:p w14:paraId="21912253" w14:textId="77777777" w:rsidR="008F7461" w:rsidRDefault="008F7461" w:rsidP="005C1AF4">
            <w:pPr>
              <w:pStyle w:val="BulletPoints"/>
              <w:numPr>
                <w:ilvl w:val="0"/>
                <w:numId w:val="0"/>
              </w:numPr>
              <w:spacing w:after="0"/>
              <w:ind w:firstLine="340"/>
              <w:rPr>
                <w:rFonts w:asciiTheme="minorHAnsi" w:hAnsiTheme="minorHAnsi" w:cstheme="minorHAnsi"/>
                <w:iCs/>
                <w:sz w:val="22"/>
                <w:szCs w:val="22"/>
              </w:rPr>
            </w:pPr>
          </w:p>
          <w:p w14:paraId="10F5F397" w14:textId="77777777" w:rsidR="008F7461" w:rsidRDefault="008F7461" w:rsidP="005C1AF4">
            <w:pPr>
              <w:pStyle w:val="BulletPoints"/>
              <w:numPr>
                <w:ilvl w:val="0"/>
                <w:numId w:val="0"/>
              </w:numPr>
              <w:spacing w:after="0"/>
              <w:ind w:firstLine="340"/>
              <w:rPr>
                <w:rFonts w:asciiTheme="minorHAnsi" w:hAnsiTheme="minorHAnsi" w:cstheme="minorHAnsi"/>
                <w:iCs/>
                <w:sz w:val="22"/>
                <w:szCs w:val="22"/>
              </w:rPr>
            </w:pPr>
          </w:p>
          <w:p w14:paraId="689655CA" w14:textId="77777777" w:rsidR="008F7461" w:rsidRDefault="008F7461" w:rsidP="005C1AF4">
            <w:pPr>
              <w:pStyle w:val="BulletPoints"/>
              <w:numPr>
                <w:ilvl w:val="0"/>
                <w:numId w:val="0"/>
              </w:numPr>
              <w:spacing w:after="0"/>
              <w:ind w:firstLine="340"/>
              <w:rPr>
                <w:rFonts w:asciiTheme="minorHAnsi" w:hAnsiTheme="minorHAnsi" w:cstheme="minorHAnsi"/>
                <w:iCs/>
                <w:sz w:val="22"/>
                <w:szCs w:val="22"/>
              </w:rPr>
            </w:pPr>
          </w:p>
          <w:p w14:paraId="6942786D" w14:textId="77777777" w:rsidR="008F7461" w:rsidRDefault="008F7461" w:rsidP="005C1AF4">
            <w:pPr>
              <w:pStyle w:val="BulletPoints"/>
              <w:numPr>
                <w:ilvl w:val="0"/>
                <w:numId w:val="0"/>
              </w:numPr>
              <w:spacing w:after="0"/>
              <w:ind w:firstLine="340"/>
              <w:rPr>
                <w:rFonts w:asciiTheme="minorHAnsi" w:hAnsiTheme="minorHAnsi" w:cstheme="minorHAnsi"/>
                <w:iCs/>
                <w:sz w:val="22"/>
                <w:szCs w:val="22"/>
              </w:rPr>
            </w:pPr>
          </w:p>
          <w:p w14:paraId="6C0AADE6" w14:textId="77777777" w:rsidR="00320E68" w:rsidRDefault="00320E68" w:rsidP="005C1AF4">
            <w:pPr>
              <w:pStyle w:val="BulletPoints"/>
              <w:numPr>
                <w:ilvl w:val="0"/>
                <w:numId w:val="0"/>
              </w:numPr>
              <w:spacing w:after="0"/>
              <w:ind w:firstLine="340"/>
              <w:rPr>
                <w:rFonts w:asciiTheme="minorHAnsi" w:hAnsiTheme="minorHAnsi" w:cstheme="minorHAnsi"/>
                <w:iCs/>
                <w:sz w:val="22"/>
                <w:szCs w:val="22"/>
              </w:rPr>
            </w:pPr>
          </w:p>
          <w:p w14:paraId="502FD405" w14:textId="77777777" w:rsidR="00320E68" w:rsidRDefault="00320E68" w:rsidP="005C1AF4">
            <w:pPr>
              <w:pStyle w:val="BulletPoints"/>
              <w:numPr>
                <w:ilvl w:val="0"/>
                <w:numId w:val="0"/>
              </w:numPr>
              <w:spacing w:after="0"/>
              <w:ind w:firstLine="340"/>
              <w:rPr>
                <w:rFonts w:asciiTheme="minorHAnsi" w:hAnsiTheme="minorHAnsi" w:cstheme="minorHAnsi"/>
                <w:iCs/>
                <w:sz w:val="22"/>
                <w:szCs w:val="22"/>
              </w:rPr>
            </w:pPr>
          </w:p>
          <w:p w14:paraId="0A31DD16" w14:textId="77777777" w:rsidR="008F7461" w:rsidRDefault="008F7461" w:rsidP="008F7461">
            <w:pPr>
              <w:pStyle w:val="BulletPoints"/>
              <w:numPr>
                <w:ilvl w:val="0"/>
                <w:numId w:val="0"/>
              </w:numPr>
              <w:spacing w:after="0"/>
              <w:ind w:left="9234" w:hanging="720"/>
              <w:rPr>
                <w:rFonts w:asciiTheme="minorHAnsi" w:hAnsiTheme="minorHAnsi" w:cstheme="minorHAnsi"/>
                <w:iCs/>
                <w:sz w:val="22"/>
                <w:szCs w:val="22"/>
              </w:rPr>
            </w:pPr>
          </w:p>
          <w:p w14:paraId="7017E9FC" w14:textId="77777777" w:rsidR="00085A3B" w:rsidRDefault="00085A3B" w:rsidP="00264529">
            <w:pPr>
              <w:pStyle w:val="BulletPoints"/>
              <w:numPr>
                <w:ilvl w:val="0"/>
                <w:numId w:val="0"/>
              </w:numPr>
              <w:spacing w:after="0"/>
              <w:ind w:left="9234" w:hanging="720"/>
              <w:rPr>
                <w:rFonts w:asciiTheme="minorHAnsi" w:hAnsiTheme="minorHAnsi" w:cstheme="minorHAnsi"/>
                <w:iCs/>
                <w:sz w:val="22"/>
                <w:szCs w:val="22"/>
              </w:rPr>
            </w:pPr>
          </w:p>
          <w:p w14:paraId="170DA220" w14:textId="75C5F7BF" w:rsidR="00CA6FAF" w:rsidRPr="00C9688A" w:rsidRDefault="00CA6FAF"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lastRenderedPageBreak/>
              <w:t xml:space="preserve">Key </w:t>
            </w:r>
            <w:r w:rsidR="00227EE9" w:rsidRPr="00C9688A">
              <w:rPr>
                <w:rFonts w:asciiTheme="minorHAnsi" w:hAnsiTheme="minorHAnsi" w:cstheme="minorHAnsi"/>
                <w:color w:val="864EA8" w:themeColor="accent1" w:themeShade="BF"/>
                <w:sz w:val="24"/>
                <w:szCs w:val="24"/>
              </w:rPr>
              <w:t xml:space="preserve">Findings on How Oil Governance in </w:t>
            </w:r>
            <w:r w:rsidRPr="00C9688A">
              <w:rPr>
                <w:rFonts w:asciiTheme="minorHAnsi" w:hAnsiTheme="minorHAnsi" w:cstheme="minorHAnsi"/>
                <w:color w:val="864EA8" w:themeColor="accent1" w:themeShade="BF"/>
                <w:sz w:val="24"/>
                <w:szCs w:val="24"/>
              </w:rPr>
              <w:t xml:space="preserve">Kenya </w:t>
            </w:r>
            <w:r w:rsidR="00227EE9" w:rsidRPr="00C9688A">
              <w:rPr>
                <w:rFonts w:asciiTheme="minorHAnsi" w:hAnsiTheme="minorHAnsi" w:cstheme="minorHAnsi"/>
                <w:color w:val="864EA8" w:themeColor="accent1" w:themeShade="BF"/>
                <w:sz w:val="24"/>
                <w:szCs w:val="24"/>
              </w:rPr>
              <w:t xml:space="preserve">Has Shaped Developmental Outcomes in </w:t>
            </w:r>
            <w:r w:rsidRPr="00C9688A">
              <w:rPr>
                <w:rFonts w:asciiTheme="minorHAnsi" w:hAnsiTheme="minorHAnsi" w:cstheme="minorHAnsi"/>
                <w:color w:val="864EA8" w:themeColor="accent1" w:themeShade="BF"/>
                <w:sz w:val="24"/>
                <w:szCs w:val="24"/>
              </w:rPr>
              <w:t>Turkana</w:t>
            </w:r>
          </w:p>
          <w:p w14:paraId="0705C38B" w14:textId="49AB94BC" w:rsidR="0020452B" w:rsidRPr="00EA32D0" w:rsidRDefault="00DF40F0" w:rsidP="00C765D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O</w:t>
            </w:r>
            <w:r w:rsidR="00107AE5" w:rsidRPr="00EA32D0">
              <w:rPr>
                <w:rFonts w:asciiTheme="minorHAnsi" w:hAnsiTheme="minorHAnsi" w:cstheme="minorHAnsi"/>
                <w:iCs/>
                <w:sz w:val="22"/>
                <w:szCs w:val="22"/>
              </w:rPr>
              <w:t>il</w:t>
            </w:r>
            <w:r w:rsidRPr="00EA32D0">
              <w:rPr>
                <w:rFonts w:asciiTheme="minorHAnsi" w:hAnsiTheme="minorHAnsi" w:cstheme="minorHAnsi"/>
                <w:iCs/>
                <w:sz w:val="22"/>
                <w:szCs w:val="22"/>
              </w:rPr>
              <w:t xml:space="preserve"> </w:t>
            </w:r>
            <w:r w:rsidR="0078007D" w:rsidRPr="00EA32D0">
              <w:rPr>
                <w:rFonts w:asciiTheme="minorHAnsi" w:hAnsiTheme="minorHAnsi" w:cstheme="minorHAnsi"/>
                <w:iCs/>
                <w:sz w:val="22"/>
                <w:szCs w:val="22"/>
              </w:rPr>
              <w:t xml:space="preserve">development </w:t>
            </w:r>
            <w:r w:rsidRPr="00EA32D0">
              <w:rPr>
                <w:rFonts w:asciiTheme="minorHAnsi" w:hAnsiTheme="minorHAnsi" w:cstheme="minorHAnsi"/>
                <w:iCs/>
                <w:sz w:val="22"/>
                <w:szCs w:val="22"/>
              </w:rPr>
              <w:t xml:space="preserve">in Kenya </w:t>
            </w:r>
            <w:r w:rsidR="0078007D" w:rsidRPr="00EA32D0">
              <w:rPr>
                <w:rFonts w:asciiTheme="minorHAnsi" w:hAnsiTheme="minorHAnsi" w:cstheme="minorHAnsi"/>
                <w:iCs/>
                <w:sz w:val="22"/>
                <w:szCs w:val="22"/>
              </w:rPr>
              <w:t>operate</w:t>
            </w:r>
            <w:r w:rsidR="00847DDE">
              <w:rPr>
                <w:rFonts w:asciiTheme="minorHAnsi" w:hAnsiTheme="minorHAnsi" w:cstheme="minorHAnsi"/>
                <w:iCs/>
                <w:sz w:val="22"/>
                <w:szCs w:val="22"/>
              </w:rPr>
              <w:t>s</w:t>
            </w:r>
            <w:r w:rsidR="0078007D" w:rsidRPr="00EA32D0">
              <w:rPr>
                <w:rFonts w:asciiTheme="minorHAnsi" w:hAnsiTheme="minorHAnsi" w:cstheme="minorHAnsi"/>
                <w:iCs/>
                <w:sz w:val="22"/>
                <w:szCs w:val="22"/>
              </w:rPr>
              <w:t xml:space="preserve"> through a governance </w:t>
            </w:r>
            <w:r w:rsidR="006F0904" w:rsidRPr="00EA32D0">
              <w:rPr>
                <w:rFonts w:asciiTheme="minorHAnsi" w:hAnsiTheme="minorHAnsi" w:cstheme="minorHAnsi"/>
                <w:iCs/>
                <w:sz w:val="22"/>
                <w:szCs w:val="22"/>
              </w:rPr>
              <w:t>system</w:t>
            </w:r>
            <w:r w:rsidR="0078007D" w:rsidRPr="00EA32D0">
              <w:rPr>
                <w:rFonts w:asciiTheme="minorHAnsi" w:hAnsiTheme="minorHAnsi" w:cstheme="minorHAnsi"/>
                <w:iCs/>
                <w:sz w:val="22"/>
                <w:szCs w:val="22"/>
              </w:rPr>
              <w:t xml:space="preserve"> in which key decisions on licensing, land access, production timelines, and revenue management are</w:t>
            </w:r>
            <w:r w:rsidR="0009718A">
              <w:rPr>
                <w:rFonts w:asciiTheme="minorHAnsi" w:hAnsiTheme="minorHAnsi" w:cstheme="minorHAnsi"/>
                <w:iCs/>
                <w:sz w:val="22"/>
                <w:szCs w:val="22"/>
              </w:rPr>
              <w:t xml:space="preserve"> largely centralised</w:t>
            </w:r>
            <w:r w:rsidR="0078007D" w:rsidRPr="00EA32D0">
              <w:rPr>
                <w:rFonts w:asciiTheme="minorHAnsi" w:hAnsiTheme="minorHAnsi" w:cstheme="minorHAnsi"/>
                <w:iCs/>
                <w:sz w:val="22"/>
                <w:szCs w:val="22"/>
              </w:rPr>
              <w:t xml:space="preserve"> at the national level</w:t>
            </w:r>
            <w:r w:rsidR="000C54EC">
              <w:rPr>
                <w:rFonts w:asciiTheme="minorHAnsi" w:hAnsiTheme="minorHAnsi" w:cstheme="minorHAnsi"/>
                <w:iCs/>
                <w:sz w:val="22"/>
                <w:szCs w:val="22"/>
              </w:rPr>
              <w:t xml:space="preserve">. While </w:t>
            </w:r>
            <w:r w:rsidR="00D053F9">
              <w:rPr>
                <w:rFonts w:asciiTheme="minorHAnsi" w:hAnsiTheme="minorHAnsi" w:cstheme="minorHAnsi"/>
                <w:iCs/>
                <w:sz w:val="22"/>
                <w:szCs w:val="22"/>
              </w:rPr>
              <w:t xml:space="preserve">legal frameworks such as the </w:t>
            </w:r>
            <w:r w:rsidR="00253C7F">
              <w:rPr>
                <w:rFonts w:asciiTheme="minorHAnsi" w:hAnsiTheme="minorHAnsi" w:cstheme="minorHAnsi"/>
                <w:iCs/>
                <w:sz w:val="22"/>
                <w:szCs w:val="22"/>
              </w:rPr>
              <w:t>Constitution of Kenya 2010, the Community Land Act 2016</w:t>
            </w:r>
            <w:r w:rsidR="00AC1545">
              <w:rPr>
                <w:rFonts w:asciiTheme="minorHAnsi" w:hAnsiTheme="minorHAnsi" w:cstheme="minorHAnsi"/>
                <w:iCs/>
                <w:sz w:val="22"/>
                <w:szCs w:val="22"/>
              </w:rPr>
              <w:t xml:space="preserve"> and the </w:t>
            </w:r>
            <w:r w:rsidR="006E1E1B">
              <w:rPr>
                <w:rFonts w:asciiTheme="minorHAnsi" w:hAnsiTheme="minorHAnsi" w:cstheme="minorHAnsi"/>
                <w:iCs/>
                <w:sz w:val="22"/>
                <w:szCs w:val="22"/>
              </w:rPr>
              <w:t>P</w:t>
            </w:r>
            <w:r w:rsidR="00AC1545">
              <w:rPr>
                <w:rFonts w:asciiTheme="minorHAnsi" w:hAnsiTheme="minorHAnsi" w:cstheme="minorHAnsi"/>
                <w:iCs/>
                <w:sz w:val="22"/>
                <w:szCs w:val="22"/>
              </w:rPr>
              <w:t xml:space="preserve">etroleum Act 2019, </w:t>
            </w:r>
            <w:r w:rsidR="00AE5AE2">
              <w:rPr>
                <w:rFonts w:asciiTheme="minorHAnsi" w:hAnsiTheme="minorHAnsi" w:cstheme="minorHAnsi"/>
                <w:iCs/>
                <w:sz w:val="22"/>
                <w:szCs w:val="22"/>
              </w:rPr>
              <w:t xml:space="preserve">establish formal governance structures, </w:t>
            </w:r>
            <w:r w:rsidR="005F3681">
              <w:rPr>
                <w:rFonts w:asciiTheme="minorHAnsi" w:hAnsiTheme="minorHAnsi" w:cstheme="minorHAnsi"/>
                <w:iCs/>
                <w:sz w:val="22"/>
                <w:szCs w:val="22"/>
              </w:rPr>
              <w:t>they provide limited downward accountability of communities</w:t>
            </w:r>
            <w:r w:rsidR="00F340A9">
              <w:rPr>
                <w:rFonts w:asciiTheme="minorHAnsi" w:hAnsiTheme="minorHAnsi" w:cstheme="minorHAnsi"/>
                <w:iCs/>
                <w:sz w:val="22"/>
                <w:szCs w:val="22"/>
              </w:rPr>
              <w:t xml:space="preserve"> whose livelihoods depend directly on the affected land</w:t>
            </w:r>
            <w:r w:rsidR="00944E89">
              <w:rPr>
                <w:rFonts w:asciiTheme="minorHAnsi" w:hAnsiTheme="minorHAnsi" w:cstheme="minorHAnsi"/>
                <w:iCs/>
                <w:sz w:val="22"/>
                <w:szCs w:val="22"/>
              </w:rPr>
              <w:t>.</w:t>
            </w:r>
            <w:r w:rsidR="00B50A94">
              <w:rPr>
                <w:rFonts w:asciiTheme="minorHAnsi" w:hAnsiTheme="minorHAnsi" w:cstheme="minorHAnsi"/>
                <w:iCs/>
                <w:sz w:val="22"/>
                <w:szCs w:val="22"/>
              </w:rPr>
              <w:t xml:space="preserve"> At the same time, </w:t>
            </w:r>
            <w:r w:rsidR="00F81796">
              <w:rPr>
                <w:rFonts w:asciiTheme="minorHAnsi" w:hAnsiTheme="minorHAnsi" w:cstheme="minorHAnsi"/>
                <w:iCs/>
                <w:sz w:val="22"/>
                <w:szCs w:val="22"/>
              </w:rPr>
              <w:t>while reflecting</w:t>
            </w:r>
            <w:r w:rsidR="00791804" w:rsidRPr="00EA32D0">
              <w:rPr>
                <w:rFonts w:asciiTheme="minorHAnsi" w:hAnsiTheme="minorHAnsi" w:cstheme="minorHAnsi"/>
                <w:iCs/>
                <w:sz w:val="22"/>
                <w:szCs w:val="22"/>
              </w:rPr>
              <w:t xml:space="preserve"> </w:t>
            </w:r>
            <w:r w:rsidR="00001C86" w:rsidRPr="00EA32D0">
              <w:rPr>
                <w:rFonts w:asciiTheme="minorHAnsi" w:hAnsiTheme="minorHAnsi" w:cstheme="minorHAnsi"/>
                <w:iCs/>
                <w:sz w:val="22"/>
                <w:szCs w:val="22"/>
              </w:rPr>
              <w:t>similar cases</w:t>
            </w:r>
            <w:r w:rsidR="001174C9" w:rsidRPr="00EA32D0">
              <w:rPr>
                <w:rFonts w:asciiTheme="minorHAnsi" w:hAnsiTheme="minorHAnsi" w:cstheme="minorHAnsi"/>
                <w:iCs/>
                <w:sz w:val="22"/>
                <w:szCs w:val="22"/>
              </w:rPr>
              <w:t xml:space="preserve"> in the Global South</w:t>
            </w:r>
            <w:r w:rsidR="0078007D" w:rsidRPr="00EA32D0">
              <w:rPr>
                <w:rFonts w:asciiTheme="minorHAnsi" w:hAnsiTheme="minorHAnsi" w:cstheme="minorHAnsi"/>
                <w:iCs/>
                <w:sz w:val="22"/>
                <w:szCs w:val="22"/>
              </w:rPr>
              <w:t xml:space="preserve">, </w:t>
            </w:r>
            <w:r w:rsidR="0094219A" w:rsidRPr="00EA32D0">
              <w:rPr>
                <w:rFonts w:asciiTheme="minorHAnsi" w:hAnsiTheme="minorHAnsi" w:cstheme="minorHAnsi"/>
                <w:iCs/>
                <w:sz w:val="22"/>
                <w:szCs w:val="22"/>
              </w:rPr>
              <w:t>responsibility for managing</w:t>
            </w:r>
            <w:r w:rsidR="00270DFD" w:rsidRPr="00EA32D0">
              <w:rPr>
                <w:rFonts w:asciiTheme="minorHAnsi" w:hAnsiTheme="minorHAnsi" w:cstheme="minorHAnsi"/>
                <w:iCs/>
                <w:sz w:val="22"/>
                <w:szCs w:val="22"/>
              </w:rPr>
              <w:t xml:space="preserve"> social and environmental impacts is largely </w:t>
            </w:r>
            <w:r w:rsidR="00F5263D" w:rsidRPr="00EA32D0">
              <w:rPr>
                <w:rFonts w:asciiTheme="minorHAnsi" w:hAnsiTheme="minorHAnsi" w:cstheme="minorHAnsi"/>
                <w:iCs/>
                <w:sz w:val="22"/>
                <w:szCs w:val="22"/>
              </w:rPr>
              <w:t>delegated</w:t>
            </w:r>
            <w:r w:rsidR="00270DFD" w:rsidRPr="00EA32D0">
              <w:rPr>
                <w:rFonts w:asciiTheme="minorHAnsi" w:hAnsiTheme="minorHAnsi" w:cstheme="minorHAnsi"/>
                <w:iCs/>
                <w:sz w:val="22"/>
                <w:szCs w:val="22"/>
              </w:rPr>
              <w:t xml:space="preserve"> to</w:t>
            </w:r>
            <w:r w:rsidR="0078007D" w:rsidRPr="00EA32D0">
              <w:rPr>
                <w:rFonts w:asciiTheme="minorHAnsi" w:hAnsiTheme="minorHAnsi" w:cstheme="minorHAnsi"/>
                <w:iCs/>
                <w:sz w:val="22"/>
                <w:szCs w:val="22"/>
              </w:rPr>
              <w:t xml:space="preserve"> companies t</w:t>
            </w:r>
            <w:r w:rsidR="003A4649" w:rsidRPr="00EA32D0">
              <w:rPr>
                <w:rFonts w:asciiTheme="minorHAnsi" w:hAnsiTheme="minorHAnsi" w:cstheme="minorHAnsi"/>
                <w:iCs/>
                <w:sz w:val="22"/>
                <w:szCs w:val="22"/>
              </w:rPr>
              <w:t xml:space="preserve">hrough voluntary </w:t>
            </w:r>
            <w:r w:rsidR="005A3C8B" w:rsidRPr="00EA32D0">
              <w:rPr>
                <w:rFonts w:asciiTheme="minorHAnsi" w:hAnsiTheme="minorHAnsi" w:cstheme="minorHAnsi"/>
                <w:iCs/>
                <w:sz w:val="22"/>
                <w:szCs w:val="22"/>
              </w:rPr>
              <w:t xml:space="preserve">corporate social responsibility programmes </w:t>
            </w:r>
            <w:r w:rsidR="00F35F66" w:rsidRPr="00EA32D0">
              <w:rPr>
                <w:rFonts w:asciiTheme="minorHAnsi" w:hAnsiTheme="minorHAnsi" w:cstheme="minorHAnsi"/>
                <w:iCs/>
                <w:sz w:val="22"/>
                <w:szCs w:val="22"/>
              </w:rPr>
              <w:t>instead of enforceable state oversight</w:t>
            </w:r>
            <w:r w:rsidR="0078007D" w:rsidRPr="00EA32D0">
              <w:rPr>
                <w:rFonts w:asciiTheme="minorHAnsi" w:hAnsiTheme="minorHAnsi" w:cstheme="minorHAnsi"/>
                <w:iCs/>
                <w:sz w:val="22"/>
                <w:szCs w:val="22"/>
              </w:rPr>
              <w:t xml:space="preserve"> </w:t>
            </w:r>
            <w:r w:rsidR="00EC216E" w:rsidRPr="000E416D">
              <w:rPr>
                <w:rFonts w:asciiTheme="minorHAnsi" w:hAnsiTheme="minorHAnsi" w:cstheme="minorHAnsi"/>
                <w:iCs/>
                <w:sz w:val="22"/>
                <w:szCs w:val="22"/>
              </w:rPr>
              <w:fldChar w:fldCharType="begin"/>
            </w:r>
            <w:r w:rsidR="006C208C" w:rsidRPr="000E416D">
              <w:rPr>
                <w:rFonts w:asciiTheme="minorHAnsi" w:hAnsiTheme="minorHAnsi" w:cstheme="minorHAnsi"/>
                <w:iCs/>
                <w:sz w:val="22"/>
                <w:szCs w:val="22"/>
              </w:rPr>
              <w:instrText xml:space="preserve"> ADDIN ZOTERO_ITEM CSL_CITATION {"citationID":"5tDnsbbu","properties":{"formattedCitation":"(Szablowski, 2007)","plainCitation":"(Szablowski, 2007)","noteIndex":0},"citationItems":[{"id":300,"uris":["http://zotero.org/users/11681747/items/PARSQTG9"],"itemData":{"id":300,"type":"book","abstract":"This book examines the regulation of the conflicts into transnational mining investment through national, transnational and local legal processes.;The global spread of transnational mining investment, which has been taking place since the 1990s, has led to often volatile conflicts with local communities. This book examines the regulation of these conflicts through national, transnational and local legal processes. In doing so, it examines how legal authority is being redistributed among public and private actors, as well as national and transnational actors, as a result of globalizing forces. The book presents a case study concerning the negotiation of land transfer and resettlement between a transnational mining enterprise and indigenous peasants in the Andes of Peru. The case study is used to explore the intensely local dynamics involved in negotiations between corporate and community representatives and the role played by legal ordering in these relations. In particular, the book examines the operation of a transnational legal regime managed by the World Bank to remedy the social and environmental impacts of projects which receive Bank assistance. The book explores the nature and character of the World Bank regime and the multiple consequences of this projection of transnational law into a local dispute.;A report on the global spread of transnational mining investment since the 1990s and the conflicts that this spread has created in developing nations. In particular, the book looks at the operation of the transnational working of the World Bank in mining.;Public International Law;The global spread of transnational mining investment, which has been taking place since the 1990s, has led to often volatile conflicts with local communities. This book examines the regulation of these conflicts through national, transnational and local legal processes. In doing so, it examines how legal authority is being redistributed among public and private actors, as well as national and transnational actors, as a result of globalizing forces.;","collection-number":"Book, Whole","DOI":"10.5040/9781474202213","edition":"1st","ISBN":"9781841136394","language":"English","note":"page: 304p","number-of-pages":"304p","publisher":"Hart Publishing Ltd","publisher-place":"London","title":"Transnational Law and Local Struggles: Mining, Communities and the World Bank","URL":"https://go.exlibris.link/YrYqvvSt","volume":"2","author":[{"family":"Szablowski","given":"David"}],"issued":{"date-parts":[["2007"]]}}}],"schema":"https://github.com/citation-style-language/schema/raw/master/csl-citation.json"} </w:instrText>
            </w:r>
            <w:r w:rsidR="00EC216E" w:rsidRPr="000E416D">
              <w:rPr>
                <w:rFonts w:asciiTheme="minorHAnsi" w:hAnsiTheme="minorHAnsi" w:cstheme="minorHAnsi"/>
                <w:iCs/>
                <w:sz w:val="22"/>
                <w:szCs w:val="22"/>
              </w:rPr>
              <w:fldChar w:fldCharType="separate"/>
            </w:r>
            <w:r w:rsidR="006C208C" w:rsidRPr="000E416D">
              <w:rPr>
                <w:rFonts w:asciiTheme="minorHAnsi" w:hAnsiTheme="minorHAnsi" w:cstheme="minorHAnsi"/>
                <w:sz w:val="22"/>
                <w:szCs w:val="22"/>
              </w:rPr>
              <w:t>(Szablowski, 2007)</w:t>
            </w:r>
            <w:r w:rsidR="00EC216E" w:rsidRPr="000E416D">
              <w:rPr>
                <w:rFonts w:asciiTheme="minorHAnsi" w:hAnsiTheme="minorHAnsi" w:cstheme="minorHAnsi"/>
                <w:iCs/>
                <w:sz w:val="22"/>
                <w:szCs w:val="22"/>
              </w:rPr>
              <w:fldChar w:fldCharType="end"/>
            </w:r>
            <w:r w:rsidR="0078007D" w:rsidRPr="000E416D">
              <w:rPr>
                <w:rFonts w:asciiTheme="minorHAnsi" w:hAnsiTheme="minorHAnsi" w:cstheme="minorHAnsi"/>
                <w:iCs/>
                <w:sz w:val="22"/>
                <w:szCs w:val="22"/>
              </w:rPr>
              <w:t xml:space="preserve">. </w:t>
            </w:r>
            <w:r w:rsidR="0078007D" w:rsidRPr="00EA32D0">
              <w:rPr>
                <w:rFonts w:asciiTheme="minorHAnsi" w:hAnsiTheme="minorHAnsi" w:cstheme="minorHAnsi"/>
                <w:iCs/>
                <w:sz w:val="22"/>
                <w:szCs w:val="22"/>
              </w:rPr>
              <w:t xml:space="preserve">Local participation </w:t>
            </w:r>
            <w:r w:rsidR="00C77190">
              <w:rPr>
                <w:rFonts w:asciiTheme="minorHAnsi" w:hAnsiTheme="minorHAnsi" w:cstheme="minorHAnsi"/>
                <w:iCs/>
                <w:sz w:val="22"/>
                <w:szCs w:val="22"/>
              </w:rPr>
              <w:t>was</w:t>
            </w:r>
            <w:r w:rsidR="0078007D" w:rsidRPr="00EA32D0">
              <w:rPr>
                <w:rFonts w:asciiTheme="minorHAnsi" w:hAnsiTheme="minorHAnsi" w:cstheme="minorHAnsi"/>
                <w:iCs/>
                <w:sz w:val="22"/>
                <w:szCs w:val="22"/>
              </w:rPr>
              <w:t xml:space="preserve"> often mediated through political and elite networks </w:t>
            </w:r>
            <w:r w:rsidR="00254B62" w:rsidRPr="00EA32D0">
              <w:rPr>
                <w:rFonts w:asciiTheme="minorHAnsi" w:hAnsiTheme="minorHAnsi" w:cstheme="minorHAnsi"/>
                <w:iCs/>
                <w:sz w:val="22"/>
                <w:szCs w:val="22"/>
              </w:rPr>
              <w:t xml:space="preserve">and not </w:t>
            </w:r>
            <w:r w:rsidR="0078007D" w:rsidRPr="00EA32D0">
              <w:rPr>
                <w:rFonts w:asciiTheme="minorHAnsi" w:hAnsiTheme="minorHAnsi" w:cstheme="minorHAnsi"/>
                <w:iCs/>
                <w:sz w:val="22"/>
                <w:szCs w:val="22"/>
              </w:rPr>
              <w:t>through accountable community institutions.</w:t>
            </w:r>
          </w:p>
          <w:p w14:paraId="7FE1BA53" w14:textId="11DA4953" w:rsidR="0057456D" w:rsidRPr="00EA32D0" w:rsidRDefault="00E7761D" w:rsidP="001345F0">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 xml:space="preserve">Together, these arrangements </w:t>
            </w:r>
            <w:r w:rsidR="00CA4635">
              <w:rPr>
                <w:rFonts w:asciiTheme="minorHAnsi" w:hAnsiTheme="minorHAnsi" w:cstheme="minorHAnsi"/>
                <w:iCs/>
                <w:sz w:val="22"/>
                <w:szCs w:val="22"/>
              </w:rPr>
              <w:t>disconnect</w:t>
            </w:r>
            <w:r w:rsidR="00406A34">
              <w:rPr>
                <w:rFonts w:asciiTheme="minorHAnsi" w:hAnsiTheme="minorHAnsi" w:cstheme="minorHAnsi"/>
                <w:iCs/>
                <w:sz w:val="22"/>
                <w:szCs w:val="22"/>
              </w:rPr>
              <w:t xml:space="preserve"> development planning from pastoral land use systems, limit community influence</w:t>
            </w:r>
            <w:r w:rsidR="005964D5">
              <w:rPr>
                <w:rFonts w:asciiTheme="minorHAnsi" w:hAnsiTheme="minorHAnsi" w:cstheme="minorHAnsi"/>
                <w:iCs/>
                <w:sz w:val="22"/>
                <w:szCs w:val="22"/>
              </w:rPr>
              <w:t xml:space="preserve"> </w:t>
            </w:r>
            <w:r w:rsidRPr="00EA32D0">
              <w:rPr>
                <w:rFonts w:asciiTheme="minorHAnsi" w:hAnsiTheme="minorHAnsi" w:cstheme="minorHAnsi"/>
                <w:iCs/>
                <w:sz w:val="22"/>
                <w:szCs w:val="22"/>
              </w:rPr>
              <w:t>over decisions that directly affect their land and livelihoods</w:t>
            </w:r>
            <w:r w:rsidR="006F53BB">
              <w:rPr>
                <w:rFonts w:asciiTheme="minorHAnsi" w:hAnsiTheme="minorHAnsi" w:cstheme="minorHAnsi"/>
                <w:iCs/>
                <w:sz w:val="22"/>
                <w:szCs w:val="22"/>
              </w:rPr>
              <w:t xml:space="preserve"> and</w:t>
            </w:r>
            <w:r w:rsidR="00887000" w:rsidRPr="00EA32D0">
              <w:rPr>
                <w:rFonts w:asciiTheme="minorHAnsi" w:hAnsiTheme="minorHAnsi" w:cstheme="minorHAnsi"/>
                <w:iCs/>
                <w:sz w:val="22"/>
                <w:szCs w:val="22"/>
              </w:rPr>
              <w:t xml:space="preserve"> </w:t>
            </w:r>
            <w:r w:rsidRPr="00EA32D0">
              <w:rPr>
                <w:rFonts w:asciiTheme="minorHAnsi" w:hAnsiTheme="minorHAnsi" w:cstheme="minorHAnsi"/>
                <w:iCs/>
                <w:sz w:val="22"/>
                <w:szCs w:val="22"/>
              </w:rPr>
              <w:t xml:space="preserve">weaken </w:t>
            </w:r>
            <w:r w:rsidR="009A0BF2" w:rsidRPr="00EA32D0">
              <w:rPr>
                <w:rFonts w:asciiTheme="minorHAnsi" w:hAnsiTheme="minorHAnsi" w:cstheme="minorHAnsi"/>
                <w:iCs/>
                <w:sz w:val="22"/>
                <w:szCs w:val="22"/>
              </w:rPr>
              <w:t xml:space="preserve">environmental </w:t>
            </w:r>
            <w:r w:rsidRPr="00EA32D0">
              <w:rPr>
                <w:rFonts w:asciiTheme="minorHAnsi" w:hAnsiTheme="minorHAnsi" w:cstheme="minorHAnsi"/>
                <w:iCs/>
                <w:sz w:val="22"/>
                <w:szCs w:val="22"/>
              </w:rPr>
              <w:t>protection</w:t>
            </w:r>
            <w:r w:rsidR="006F53BB">
              <w:rPr>
                <w:rFonts w:asciiTheme="minorHAnsi" w:hAnsiTheme="minorHAnsi" w:cstheme="minorHAnsi"/>
                <w:iCs/>
                <w:sz w:val="22"/>
                <w:szCs w:val="22"/>
              </w:rPr>
              <w:t>.</w:t>
            </w:r>
            <w:r w:rsidR="008C32AA" w:rsidRPr="00EA32D0">
              <w:rPr>
                <w:rFonts w:asciiTheme="minorHAnsi" w:hAnsiTheme="minorHAnsi" w:cstheme="minorHAnsi"/>
                <w:iCs/>
                <w:sz w:val="22"/>
                <w:szCs w:val="22"/>
              </w:rPr>
              <w:t xml:space="preserve"> The result is </w:t>
            </w:r>
            <w:r w:rsidR="004E3BBA">
              <w:rPr>
                <w:rFonts w:asciiTheme="minorHAnsi" w:hAnsiTheme="minorHAnsi" w:cstheme="minorHAnsi"/>
                <w:iCs/>
                <w:sz w:val="22"/>
                <w:szCs w:val="22"/>
              </w:rPr>
              <w:t>loss</w:t>
            </w:r>
            <w:r w:rsidR="008C32AA" w:rsidRPr="00EA32D0">
              <w:rPr>
                <w:rFonts w:asciiTheme="minorHAnsi" w:hAnsiTheme="minorHAnsi" w:cstheme="minorHAnsi"/>
                <w:iCs/>
                <w:sz w:val="22"/>
                <w:szCs w:val="22"/>
              </w:rPr>
              <w:t xml:space="preserve"> of access to grazing land</w:t>
            </w:r>
            <w:r w:rsidR="004E3BBA">
              <w:rPr>
                <w:rFonts w:asciiTheme="minorHAnsi" w:hAnsiTheme="minorHAnsi" w:cstheme="minorHAnsi"/>
                <w:iCs/>
                <w:sz w:val="22"/>
                <w:szCs w:val="22"/>
              </w:rPr>
              <w:t xml:space="preserve"> and</w:t>
            </w:r>
            <w:r w:rsidR="006A7613" w:rsidRPr="00EA32D0">
              <w:rPr>
                <w:rFonts w:asciiTheme="minorHAnsi" w:hAnsiTheme="minorHAnsi" w:cstheme="minorHAnsi"/>
                <w:iCs/>
                <w:sz w:val="22"/>
                <w:szCs w:val="22"/>
              </w:rPr>
              <w:t xml:space="preserve"> water, growing grievance</w:t>
            </w:r>
            <w:r w:rsidR="004A77B8">
              <w:rPr>
                <w:rFonts w:asciiTheme="minorHAnsi" w:hAnsiTheme="minorHAnsi" w:cstheme="minorHAnsi"/>
                <w:iCs/>
                <w:sz w:val="22"/>
                <w:szCs w:val="22"/>
              </w:rPr>
              <w:t xml:space="preserve">, </w:t>
            </w:r>
            <w:r w:rsidR="005C5998" w:rsidRPr="00EA32D0">
              <w:rPr>
                <w:rFonts w:asciiTheme="minorHAnsi" w:hAnsiTheme="minorHAnsi" w:cstheme="minorHAnsi"/>
                <w:iCs/>
                <w:sz w:val="22"/>
                <w:szCs w:val="22"/>
              </w:rPr>
              <w:t>declining</w:t>
            </w:r>
            <w:r w:rsidR="00A36DA4" w:rsidRPr="00EA32D0">
              <w:rPr>
                <w:rFonts w:asciiTheme="minorHAnsi" w:hAnsiTheme="minorHAnsi" w:cstheme="minorHAnsi"/>
                <w:iCs/>
                <w:sz w:val="22"/>
                <w:szCs w:val="22"/>
              </w:rPr>
              <w:t xml:space="preserve"> trust</w:t>
            </w:r>
            <w:r w:rsidR="001D16ED" w:rsidRPr="00EA32D0">
              <w:rPr>
                <w:rFonts w:asciiTheme="minorHAnsi" w:hAnsiTheme="minorHAnsi" w:cstheme="minorHAnsi"/>
                <w:iCs/>
                <w:sz w:val="22"/>
                <w:szCs w:val="22"/>
              </w:rPr>
              <w:t xml:space="preserve"> </w:t>
            </w:r>
            <w:r w:rsidR="006F0C31">
              <w:rPr>
                <w:rFonts w:asciiTheme="minorHAnsi" w:hAnsiTheme="minorHAnsi" w:cstheme="minorHAnsi"/>
                <w:iCs/>
                <w:sz w:val="22"/>
                <w:szCs w:val="22"/>
              </w:rPr>
              <w:t xml:space="preserve">and increased resistance </w:t>
            </w:r>
            <w:r w:rsidR="001D16ED" w:rsidRPr="00EA32D0">
              <w:rPr>
                <w:rFonts w:asciiTheme="minorHAnsi" w:hAnsiTheme="minorHAnsi" w:cstheme="minorHAnsi"/>
                <w:iCs/>
                <w:sz w:val="22"/>
                <w:szCs w:val="22"/>
              </w:rPr>
              <w:t>as opposed to shared development benefits</w:t>
            </w:r>
            <w:r w:rsidR="006F0C31">
              <w:rPr>
                <w:rFonts w:asciiTheme="minorHAnsi" w:hAnsiTheme="minorHAnsi" w:cstheme="minorHAnsi"/>
                <w:iCs/>
                <w:sz w:val="22"/>
                <w:szCs w:val="22"/>
              </w:rPr>
              <w:t>.</w:t>
            </w:r>
          </w:p>
          <w:p w14:paraId="52401115" w14:textId="2081E895" w:rsidR="00716C93" w:rsidRDefault="009A6272" w:rsidP="001345F0">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 xml:space="preserve">Field evidence shows how </w:t>
            </w:r>
            <w:r w:rsidR="00AD2264" w:rsidRPr="00EA32D0">
              <w:rPr>
                <w:rFonts w:asciiTheme="minorHAnsi" w:hAnsiTheme="minorHAnsi" w:cstheme="minorHAnsi"/>
                <w:iCs/>
                <w:sz w:val="22"/>
                <w:szCs w:val="22"/>
              </w:rPr>
              <w:t>th</w:t>
            </w:r>
            <w:r w:rsidR="00847DDE">
              <w:rPr>
                <w:rFonts w:asciiTheme="minorHAnsi" w:hAnsiTheme="minorHAnsi" w:cstheme="minorHAnsi"/>
                <w:iCs/>
                <w:sz w:val="22"/>
                <w:szCs w:val="22"/>
              </w:rPr>
              <w:t>e</w:t>
            </w:r>
            <w:r w:rsidR="00AD2264" w:rsidRPr="00EA32D0">
              <w:rPr>
                <w:rFonts w:asciiTheme="minorHAnsi" w:hAnsiTheme="minorHAnsi" w:cstheme="minorHAnsi"/>
                <w:iCs/>
                <w:sz w:val="22"/>
                <w:szCs w:val="22"/>
              </w:rPr>
              <w:t>s</w:t>
            </w:r>
            <w:r w:rsidR="00847DDE">
              <w:rPr>
                <w:rFonts w:asciiTheme="minorHAnsi" w:hAnsiTheme="minorHAnsi" w:cstheme="minorHAnsi"/>
                <w:iCs/>
                <w:sz w:val="22"/>
                <w:szCs w:val="22"/>
              </w:rPr>
              <w:t>e</w:t>
            </w:r>
            <w:r w:rsidR="00E757F2">
              <w:rPr>
                <w:rFonts w:asciiTheme="minorHAnsi" w:hAnsiTheme="minorHAnsi" w:cstheme="minorHAnsi"/>
                <w:iCs/>
                <w:sz w:val="22"/>
                <w:szCs w:val="22"/>
              </w:rPr>
              <w:t xml:space="preserve"> </w:t>
            </w:r>
            <w:r w:rsidR="00AD2264" w:rsidRPr="00EA32D0">
              <w:rPr>
                <w:rFonts w:asciiTheme="minorHAnsi" w:hAnsiTheme="minorHAnsi" w:cstheme="minorHAnsi"/>
                <w:iCs/>
                <w:sz w:val="22"/>
                <w:szCs w:val="22"/>
              </w:rPr>
              <w:t>governance</w:t>
            </w:r>
            <w:r w:rsidRPr="00EA32D0">
              <w:rPr>
                <w:rFonts w:asciiTheme="minorHAnsi" w:hAnsiTheme="minorHAnsi" w:cstheme="minorHAnsi"/>
                <w:iCs/>
                <w:sz w:val="22"/>
                <w:szCs w:val="22"/>
              </w:rPr>
              <w:t xml:space="preserve"> conditions </w:t>
            </w:r>
            <w:r w:rsidR="005F29F9" w:rsidRPr="00EA32D0">
              <w:rPr>
                <w:rFonts w:asciiTheme="minorHAnsi" w:hAnsiTheme="minorHAnsi" w:cstheme="minorHAnsi"/>
                <w:iCs/>
                <w:sz w:val="22"/>
                <w:szCs w:val="22"/>
              </w:rPr>
              <w:t xml:space="preserve">translate into </w:t>
            </w:r>
            <w:r w:rsidR="00751ECF">
              <w:rPr>
                <w:rFonts w:asciiTheme="minorHAnsi" w:hAnsiTheme="minorHAnsi" w:cstheme="minorHAnsi"/>
                <w:iCs/>
                <w:sz w:val="22"/>
                <w:szCs w:val="22"/>
              </w:rPr>
              <w:t xml:space="preserve">cumulative </w:t>
            </w:r>
            <w:r w:rsidR="00112501">
              <w:rPr>
                <w:rFonts w:asciiTheme="minorHAnsi" w:hAnsiTheme="minorHAnsi" w:cstheme="minorHAnsi"/>
                <w:iCs/>
                <w:sz w:val="22"/>
                <w:szCs w:val="22"/>
              </w:rPr>
              <w:t xml:space="preserve">impacts of </w:t>
            </w:r>
            <w:r w:rsidR="00711202">
              <w:rPr>
                <w:rFonts w:asciiTheme="minorHAnsi" w:hAnsiTheme="minorHAnsi" w:cstheme="minorHAnsi"/>
                <w:iCs/>
                <w:sz w:val="22"/>
                <w:szCs w:val="22"/>
              </w:rPr>
              <w:t xml:space="preserve">extractive </w:t>
            </w:r>
            <w:r w:rsidR="00112501">
              <w:rPr>
                <w:rFonts w:asciiTheme="minorHAnsi" w:hAnsiTheme="minorHAnsi" w:cstheme="minorHAnsi"/>
                <w:iCs/>
                <w:sz w:val="22"/>
                <w:szCs w:val="22"/>
              </w:rPr>
              <w:t>activities on local livelihood and land use</w:t>
            </w:r>
            <w:r w:rsidR="008477BA">
              <w:rPr>
                <w:rFonts w:asciiTheme="minorHAnsi" w:hAnsiTheme="minorHAnsi" w:cstheme="minorHAnsi"/>
                <w:iCs/>
                <w:sz w:val="22"/>
                <w:szCs w:val="22"/>
              </w:rPr>
              <w:t>.</w:t>
            </w:r>
          </w:p>
          <w:p w14:paraId="2DA9B5A9" w14:textId="77777777" w:rsidR="002056B7" w:rsidRPr="003C30B0" w:rsidRDefault="002056B7" w:rsidP="008477BA">
            <w:pPr>
              <w:pStyle w:val="BulletPoints"/>
              <w:numPr>
                <w:ilvl w:val="0"/>
                <w:numId w:val="0"/>
              </w:numPr>
              <w:spacing w:after="0"/>
              <w:ind w:firstLine="346"/>
              <w:rPr>
                <w:rFonts w:asciiTheme="minorHAnsi" w:hAnsiTheme="minorHAnsi" w:cstheme="minorHAnsi"/>
                <w:iCs/>
                <w:sz w:val="10"/>
                <w:szCs w:val="10"/>
              </w:rPr>
            </w:pPr>
          </w:p>
          <w:p w14:paraId="4C976DC4" w14:textId="5C15D819" w:rsidR="001D7A47" w:rsidRDefault="003C3FD0" w:rsidP="00B07CE8">
            <w:pPr>
              <w:pStyle w:val="BulletPoints"/>
              <w:numPr>
                <w:ilvl w:val="0"/>
                <w:numId w:val="8"/>
              </w:numPr>
              <w:spacing w:after="0"/>
              <w:rPr>
                <w:rFonts w:asciiTheme="minorHAnsi" w:hAnsiTheme="minorHAnsi" w:cstheme="minorHAnsi"/>
                <w:b/>
                <w:bCs/>
                <w:iCs/>
                <w:sz w:val="22"/>
                <w:szCs w:val="22"/>
              </w:rPr>
            </w:pPr>
            <w:r>
              <w:rPr>
                <w:rFonts w:asciiTheme="minorHAnsi" w:hAnsiTheme="minorHAnsi" w:cstheme="minorHAnsi"/>
                <w:b/>
                <w:bCs/>
                <w:iCs/>
                <w:sz w:val="22"/>
                <w:szCs w:val="22"/>
              </w:rPr>
              <w:t>I</w:t>
            </w:r>
            <w:r w:rsidR="00663827">
              <w:rPr>
                <w:rFonts w:asciiTheme="minorHAnsi" w:hAnsiTheme="minorHAnsi" w:cstheme="minorHAnsi"/>
                <w:b/>
                <w:bCs/>
                <w:iCs/>
                <w:sz w:val="22"/>
                <w:szCs w:val="22"/>
              </w:rPr>
              <w:t xml:space="preserve">nitial community expectations </w:t>
            </w:r>
            <w:r w:rsidR="00F55F01">
              <w:rPr>
                <w:rFonts w:asciiTheme="minorHAnsi" w:hAnsiTheme="minorHAnsi" w:cstheme="minorHAnsi"/>
                <w:b/>
                <w:bCs/>
                <w:iCs/>
                <w:sz w:val="22"/>
                <w:szCs w:val="22"/>
              </w:rPr>
              <w:t>were</w:t>
            </w:r>
            <w:r w:rsidR="00320220" w:rsidRPr="00EA32D0">
              <w:rPr>
                <w:rFonts w:asciiTheme="minorHAnsi" w:hAnsiTheme="minorHAnsi" w:cstheme="minorHAnsi"/>
                <w:b/>
                <w:bCs/>
                <w:iCs/>
                <w:sz w:val="22"/>
                <w:szCs w:val="22"/>
              </w:rPr>
              <w:t xml:space="preserve"> used to advance</w:t>
            </w:r>
            <w:r w:rsidR="00F55F01">
              <w:rPr>
                <w:rFonts w:asciiTheme="minorHAnsi" w:hAnsiTheme="minorHAnsi" w:cstheme="minorHAnsi"/>
                <w:b/>
                <w:bCs/>
                <w:iCs/>
                <w:sz w:val="22"/>
                <w:szCs w:val="22"/>
              </w:rPr>
              <w:t xml:space="preserve"> the oil</w:t>
            </w:r>
            <w:r w:rsidR="00320220" w:rsidRPr="00EA32D0">
              <w:rPr>
                <w:rFonts w:asciiTheme="minorHAnsi" w:hAnsiTheme="minorHAnsi" w:cstheme="minorHAnsi"/>
                <w:b/>
                <w:bCs/>
                <w:iCs/>
                <w:sz w:val="22"/>
                <w:szCs w:val="22"/>
              </w:rPr>
              <w:t xml:space="preserve"> project without clear accountability</w:t>
            </w:r>
          </w:p>
          <w:p w14:paraId="7CC93F45" w14:textId="77777777" w:rsidR="00F55F01" w:rsidRPr="00EA32D0" w:rsidRDefault="00F55F01" w:rsidP="00F55F01">
            <w:pPr>
              <w:pStyle w:val="BulletPoints"/>
              <w:numPr>
                <w:ilvl w:val="0"/>
                <w:numId w:val="0"/>
              </w:numPr>
              <w:spacing w:after="0"/>
              <w:ind w:left="360"/>
              <w:rPr>
                <w:rFonts w:asciiTheme="minorHAnsi" w:hAnsiTheme="minorHAnsi" w:cstheme="minorHAnsi"/>
                <w:b/>
                <w:bCs/>
                <w:iCs/>
                <w:sz w:val="22"/>
                <w:szCs w:val="22"/>
              </w:rPr>
            </w:pPr>
          </w:p>
          <w:p w14:paraId="53BE4724" w14:textId="73E8BD15" w:rsidR="00930EAB" w:rsidRDefault="004A6A1A" w:rsidP="00C765D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 xml:space="preserve">Oil development </w:t>
            </w:r>
            <w:r w:rsidR="00C500E8">
              <w:rPr>
                <w:rFonts w:asciiTheme="minorHAnsi" w:hAnsiTheme="minorHAnsi" w:cstheme="minorHAnsi"/>
                <w:iCs/>
                <w:sz w:val="22"/>
                <w:szCs w:val="22"/>
              </w:rPr>
              <w:t>in Turkana moved</w:t>
            </w:r>
            <w:r w:rsidRPr="00EA32D0">
              <w:rPr>
                <w:rFonts w:asciiTheme="minorHAnsi" w:hAnsiTheme="minorHAnsi" w:cstheme="minorHAnsi"/>
                <w:iCs/>
                <w:sz w:val="22"/>
                <w:szCs w:val="22"/>
              </w:rPr>
              <w:t xml:space="preserve"> forward on the basis of </w:t>
            </w:r>
            <w:r w:rsidR="0039567A" w:rsidRPr="00EA32D0">
              <w:rPr>
                <w:rFonts w:asciiTheme="minorHAnsi" w:hAnsiTheme="minorHAnsi" w:cstheme="minorHAnsi"/>
                <w:iCs/>
                <w:sz w:val="22"/>
                <w:szCs w:val="22"/>
              </w:rPr>
              <w:t xml:space="preserve">development </w:t>
            </w:r>
            <w:r w:rsidR="001F38CA" w:rsidRPr="00EA32D0">
              <w:rPr>
                <w:rFonts w:asciiTheme="minorHAnsi" w:hAnsiTheme="minorHAnsi" w:cstheme="minorHAnsi"/>
                <w:iCs/>
                <w:sz w:val="22"/>
                <w:szCs w:val="22"/>
              </w:rPr>
              <w:t xml:space="preserve">promises </w:t>
            </w:r>
            <w:r w:rsidR="00801826">
              <w:rPr>
                <w:rFonts w:asciiTheme="minorHAnsi" w:hAnsiTheme="minorHAnsi" w:cstheme="minorHAnsi"/>
                <w:iCs/>
                <w:sz w:val="22"/>
                <w:szCs w:val="22"/>
              </w:rPr>
              <w:t xml:space="preserve">to </w:t>
            </w:r>
            <w:r w:rsidR="00C500E8">
              <w:rPr>
                <w:rFonts w:asciiTheme="minorHAnsi" w:hAnsiTheme="minorHAnsi" w:cstheme="minorHAnsi"/>
                <w:iCs/>
                <w:sz w:val="22"/>
                <w:szCs w:val="22"/>
              </w:rPr>
              <w:t>the local community</w:t>
            </w:r>
            <w:r w:rsidR="00801826">
              <w:rPr>
                <w:rFonts w:asciiTheme="minorHAnsi" w:hAnsiTheme="minorHAnsi" w:cstheme="minorHAnsi"/>
                <w:iCs/>
                <w:sz w:val="22"/>
                <w:szCs w:val="22"/>
              </w:rPr>
              <w:t xml:space="preserve"> </w:t>
            </w:r>
            <w:r w:rsidR="001F38CA" w:rsidRPr="00EA32D0">
              <w:rPr>
                <w:rFonts w:asciiTheme="minorHAnsi" w:hAnsiTheme="minorHAnsi" w:cstheme="minorHAnsi"/>
                <w:iCs/>
                <w:sz w:val="22"/>
                <w:szCs w:val="22"/>
              </w:rPr>
              <w:t xml:space="preserve">before </w:t>
            </w:r>
            <w:r w:rsidRPr="00EA32D0">
              <w:rPr>
                <w:rFonts w:asciiTheme="minorHAnsi" w:hAnsiTheme="minorHAnsi" w:cstheme="minorHAnsi"/>
                <w:iCs/>
                <w:sz w:val="22"/>
                <w:szCs w:val="22"/>
              </w:rPr>
              <w:t>clear benefit-sharing arrangements and enforceable commitments</w:t>
            </w:r>
            <w:r w:rsidR="00C500E8">
              <w:rPr>
                <w:rFonts w:asciiTheme="minorHAnsi" w:hAnsiTheme="minorHAnsi" w:cstheme="minorHAnsi"/>
                <w:iCs/>
                <w:sz w:val="22"/>
                <w:szCs w:val="22"/>
              </w:rPr>
              <w:t xml:space="preserve"> were put</w:t>
            </w:r>
            <w:r w:rsidRPr="00EA32D0">
              <w:rPr>
                <w:rFonts w:asciiTheme="minorHAnsi" w:hAnsiTheme="minorHAnsi" w:cstheme="minorHAnsi"/>
                <w:iCs/>
                <w:sz w:val="22"/>
                <w:szCs w:val="22"/>
              </w:rPr>
              <w:t xml:space="preserve"> in place.</w:t>
            </w:r>
            <w:r w:rsidR="007257A7" w:rsidRPr="00EA32D0">
              <w:rPr>
                <w:rFonts w:asciiTheme="minorHAnsi" w:hAnsiTheme="minorHAnsi" w:cstheme="minorHAnsi"/>
                <w:iCs/>
                <w:sz w:val="22"/>
                <w:szCs w:val="22"/>
              </w:rPr>
              <w:t xml:space="preserve"> While these </w:t>
            </w:r>
            <w:r w:rsidR="00A23382" w:rsidRPr="00EA32D0">
              <w:rPr>
                <w:rFonts w:asciiTheme="minorHAnsi" w:hAnsiTheme="minorHAnsi" w:cstheme="minorHAnsi"/>
                <w:iCs/>
                <w:sz w:val="22"/>
                <w:szCs w:val="22"/>
              </w:rPr>
              <w:t xml:space="preserve">promises </w:t>
            </w:r>
            <w:r w:rsidR="00915856" w:rsidRPr="00EA32D0">
              <w:rPr>
                <w:rFonts w:asciiTheme="minorHAnsi" w:hAnsiTheme="minorHAnsi" w:cstheme="minorHAnsi"/>
                <w:iCs/>
                <w:sz w:val="22"/>
                <w:szCs w:val="22"/>
              </w:rPr>
              <w:t>help</w:t>
            </w:r>
            <w:r w:rsidR="00C500E8">
              <w:rPr>
                <w:rFonts w:asciiTheme="minorHAnsi" w:hAnsiTheme="minorHAnsi" w:cstheme="minorHAnsi"/>
                <w:iCs/>
                <w:sz w:val="22"/>
                <w:szCs w:val="22"/>
              </w:rPr>
              <w:t>ed</w:t>
            </w:r>
            <w:r w:rsidR="004953FA" w:rsidRPr="00EA32D0">
              <w:rPr>
                <w:rFonts w:asciiTheme="minorHAnsi" w:hAnsiTheme="minorHAnsi" w:cstheme="minorHAnsi"/>
                <w:iCs/>
                <w:sz w:val="22"/>
                <w:szCs w:val="22"/>
              </w:rPr>
              <w:t xml:space="preserve"> project developers </w:t>
            </w:r>
            <w:r w:rsidR="0093123E" w:rsidRPr="00EA32D0">
              <w:rPr>
                <w:rFonts w:asciiTheme="minorHAnsi" w:hAnsiTheme="minorHAnsi" w:cstheme="minorHAnsi"/>
                <w:iCs/>
                <w:sz w:val="22"/>
                <w:szCs w:val="22"/>
              </w:rPr>
              <w:t xml:space="preserve">secure </w:t>
            </w:r>
            <w:r w:rsidR="00786FC0" w:rsidRPr="00EA32D0">
              <w:rPr>
                <w:rFonts w:asciiTheme="minorHAnsi" w:hAnsiTheme="minorHAnsi" w:cstheme="minorHAnsi"/>
                <w:iCs/>
                <w:sz w:val="22"/>
                <w:szCs w:val="22"/>
              </w:rPr>
              <w:t>early</w:t>
            </w:r>
            <w:r w:rsidR="0093123E" w:rsidRPr="00EA32D0">
              <w:rPr>
                <w:rFonts w:asciiTheme="minorHAnsi" w:hAnsiTheme="minorHAnsi" w:cstheme="minorHAnsi"/>
                <w:iCs/>
                <w:sz w:val="22"/>
                <w:szCs w:val="22"/>
              </w:rPr>
              <w:t xml:space="preserve"> community </w:t>
            </w:r>
            <w:r w:rsidR="002017EE" w:rsidRPr="00EA32D0">
              <w:rPr>
                <w:rFonts w:asciiTheme="minorHAnsi" w:hAnsiTheme="minorHAnsi" w:cstheme="minorHAnsi"/>
                <w:iCs/>
                <w:sz w:val="22"/>
                <w:szCs w:val="22"/>
              </w:rPr>
              <w:t>acceptance</w:t>
            </w:r>
            <w:r w:rsidR="0093123E" w:rsidRPr="00EA32D0">
              <w:rPr>
                <w:rFonts w:asciiTheme="minorHAnsi" w:hAnsiTheme="minorHAnsi" w:cstheme="minorHAnsi"/>
                <w:iCs/>
                <w:sz w:val="22"/>
                <w:szCs w:val="22"/>
              </w:rPr>
              <w:t xml:space="preserve"> to operate, </w:t>
            </w:r>
            <w:r w:rsidR="002017EE" w:rsidRPr="00EA32D0">
              <w:rPr>
                <w:rFonts w:asciiTheme="minorHAnsi" w:hAnsiTheme="minorHAnsi" w:cstheme="minorHAnsi"/>
                <w:iCs/>
                <w:sz w:val="22"/>
                <w:szCs w:val="22"/>
              </w:rPr>
              <w:t>they</w:t>
            </w:r>
            <w:r w:rsidR="004953FA" w:rsidRPr="00EA32D0">
              <w:rPr>
                <w:rFonts w:asciiTheme="minorHAnsi" w:hAnsiTheme="minorHAnsi" w:cstheme="minorHAnsi"/>
                <w:iCs/>
                <w:sz w:val="22"/>
                <w:szCs w:val="22"/>
              </w:rPr>
              <w:t xml:space="preserve"> </w:t>
            </w:r>
            <w:r w:rsidR="004119C3" w:rsidRPr="00EA32D0">
              <w:rPr>
                <w:rFonts w:asciiTheme="minorHAnsi" w:hAnsiTheme="minorHAnsi" w:cstheme="minorHAnsi"/>
                <w:iCs/>
                <w:sz w:val="22"/>
                <w:szCs w:val="22"/>
              </w:rPr>
              <w:t>postpone</w:t>
            </w:r>
            <w:r w:rsidR="00C500E8">
              <w:rPr>
                <w:rFonts w:asciiTheme="minorHAnsi" w:hAnsiTheme="minorHAnsi" w:cstheme="minorHAnsi"/>
                <w:iCs/>
                <w:sz w:val="22"/>
                <w:szCs w:val="22"/>
              </w:rPr>
              <w:t>d</w:t>
            </w:r>
            <w:r w:rsidRPr="00EA32D0">
              <w:rPr>
                <w:rFonts w:asciiTheme="minorHAnsi" w:hAnsiTheme="minorHAnsi" w:cstheme="minorHAnsi"/>
                <w:iCs/>
                <w:sz w:val="22"/>
                <w:szCs w:val="22"/>
              </w:rPr>
              <w:t xml:space="preserve"> difficult decisions on land rights, compensation, and accountability</w:t>
            </w:r>
            <w:r w:rsidR="00C500E8">
              <w:rPr>
                <w:rFonts w:asciiTheme="minorHAnsi" w:hAnsiTheme="minorHAnsi" w:cstheme="minorHAnsi"/>
                <w:iCs/>
                <w:sz w:val="22"/>
                <w:szCs w:val="22"/>
              </w:rPr>
              <w:t>.</w:t>
            </w:r>
            <w:r w:rsidR="00033C7B" w:rsidRPr="00EA32D0">
              <w:rPr>
                <w:rFonts w:asciiTheme="minorHAnsi" w:hAnsiTheme="minorHAnsi" w:cstheme="minorHAnsi"/>
                <w:iCs/>
                <w:sz w:val="22"/>
                <w:szCs w:val="22"/>
              </w:rPr>
              <w:t xml:space="preserve"> </w:t>
            </w:r>
            <w:r w:rsidR="00517577">
              <w:rPr>
                <w:rFonts w:asciiTheme="minorHAnsi" w:hAnsiTheme="minorHAnsi" w:cstheme="minorHAnsi"/>
                <w:iCs/>
                <w:sz w:val="22"/>
                <w:szCs w:val="22"/>
              </w:rPr>
              <w:t>However, w</w:t>
            </w:r>
            <w:r w:rsidR="00033C7B" w:rsidRPr="00EA32D0">
              <w:rPr>
                <w:rFonts w:asciiTheme="minorHAnsi" w:hAnsiTheme="minorHAnsi" w:cstheme="minorHAnsi"/>
                <w:iCs/>
                <w:sz w:val="22"/>
                <w:szCs w:val="22"/>
              </w:rPr>
              <w:t>hen th</w:t>
            </w:r>
            <w:r w:rsidR="006A33A4" w:rsidRPr="00EA32D0">
              <w:rPr>
                <w:rFonts w:asciiTheme="minorHAnsi" w:hAnsiTheme="minorHAnsi" w:cstheme="minorHAnsi"/>
                <w:iCs/>
                <w:sz w:val="22"/>
                <w:szCs w:val="22"/>
              </w:rPr>
              <w:t xml:space="preserve">e </w:t>
            </w:r>
            <w:r w:rsidR="004119C3" w:rsidRPr="00EA32D0">
              <w:rPr>
                <w:rFonts w:asciiTheme="minorHAnsi" w:hAnsiTheme="minorHAnsi" w:cstheme="minorHAnsi"/>
                <w:iCs/>
                <w:sz w:val="22"/>
                <w:szCs w:val="22"/>
              </w:rPr>
              <w:t xml:space="preserve">expected benefits </w:t>
            </w:r>
            <w:r w:rsidR="006A33A4" w:rsidRPr="00EA32D0">
              <w:rPr>
                <w:rFonts w:asciiTheme="minorHAnsi" w:hAnsiTheme="minorHAnsi" w:cstheme="minorHAnsi"/>
                <w:iCs/>
                <w:sz w:val="22"/>
                <w:szCs w:val="22"/>
              </w:rPr>
              <w:t>fail</w:t>
            </w:r>
            <w:r w:rsidR="00C500E8">
              <w:rPr>
                <w:rFonts w:asciiTheme="minorHAnsi" w:hAnsiTheme="minorHAnsi" w:cstheme="minorHAnsi"/>
                <w:iCs/>
                <w:sz w:val="22"/>
                <w:szCs w:val="22"/>
              </w:rPr>
              <w:t>ed</w:t>
            </w:r>
            <w:r w:rsidR="006A33A4" w:rsidRPr="00EA32D0">
              <w:rPr>
                <w:rFonts w:asciiTheme="minorHAnsi" w:hAnsiTheme="minorHAnsi" w:cstheme="minorHAnsi"/>
                <w:iCs/>
                <w:sz w:val="22"/>
                <w:szCs w:val="22"/>
              </w:rPr>
              <w:t xml:space="preserve"> to materiali</w:t>
            </w:r>
            <w:r w:rsidR="008D7D17">
              <w:rPr>
                <w:rFonts w:asciiTheme="minorHAnsi" w:hAnsiTheme="minorHAnsi" w:cstheme="minorHAnsi"/>
                <w:iCs/>
                <w:sz w:val="22"/>
                <w:szCs w:val="22"/>
              </w:rPr>
              <w:t>s</w:t>
            </w:r>
            <w:r w:rsidR="006A33A4" w:rsidRPr="00EA32D0">
              <w:rPr>
                <w:rFonts w:asciiTheme="minorHAnsi" w:hAnsiTheme="minorHAnsi" w:cstheme="minorHAnsi"/>
                <w:iCs/>
                <w:sz w:val="22"/>
                <w:szCs w:val="22"/>
              </w:rPr>
              <w:t>e,</w:t>
            </w:r>
            <w:r w:rsidR="00E00F0C" w:rsidRPr="00EA32D0">
              <w:rPr>
                <w:rFonts w:asciiTheme="minorHAnsi" w:hAnsiTheme="minorHAnsi" w:cstheme="minorHAnsi"/>
                <w:iCs/>
                <w:sz w:val="22"/>
                <w:szCs w:val="22"/>
              </w:rPr>
              <w:t xml:space="preserve"> </w:t>
            </w:r>
            <w:r w:rsidR="0074262B" w:rsidRPr="00EA32D0">
              <w:rPr>
                <w:rFonts w:asciiTheme="minorHAnsi" w:hAnsiTheme="minorHAnsi" w:cstheme="minorHAnsi"/>
                <w:iCs/>
                <w:sz w:val="22"/>
                <w:szCs w:val="22"/>
              </w:rPr>
              <w:t xml:space="preserve">community </w:t>
            </w:r>
            <w:r w:rsidRPr="00EA32D0">
              <w:rPr>
                <w:rFonts w:asciiTheme="minorHAnsi" w:hAnsiTheme="minorHAnsi" w:cstheme="minorHAnsi"/>
                <w:iCs/>
                <w:sz w:val="22"/>
                <w:szCs w:val="22"/>
              </w:rPr>
              <w:t xml:space="preserve">confidence in </w:t>
            </w:r>
            <w:r w:rsidR="00DB4FF5" w:rsidRPr="00EA32D0">
              <w:rPr>
                <w:rFonts w:asciiTheme="minorHAnsi" w:hAnsiTheme="minorHAnsi" w:cstheme="minorHAnsi"/>
                <w:iCs/>
                <w:sz w:val="22"/>
                <w:szCs w:val="22"/>
              </w:rPr>
              <w:t>government and project developers</w:t>
            </w:r>
            <w:r w:rsidR="000E54DB" w:rsidRPr="00EA32D0">
              <w:rPr>
                <w:rFonts w:asciiTheme="minorHAnsi" w:hAnsiTheme="minorHAnsi" w:cstheme="minorHAnsi"/>
                <w:iCs/>
                <w:sz w:val="22"/>
                <w:szCs w:val="22"/>
              </w:rPr>
              <w:t xml:space="preserve"> decline</w:t>
            </w:r>
            <w:r w:rsidR="00C500E8">
              <w:rPr>
                <w:rFonts w:asciiTheme="minorHAnsi" w:hAnsiTheme="minorHAnsi" w:cstheme="minorHAnsi"/>
                <w:iCs/>
                <w:sz w:val="22"/>
                <w:szCs w:val="22"/>
              </w:rPr>
              <w:t>d</w:t>
            </w:r>
            <w:r w:rsidR="008D7D17">
              <w:rPr>
                <w:rFonts w:asciiTheme="minorHAnsi" w:hAnsiTheme="minorHAnsi" w:cstheme="minorHAnsi"/>
                <w:iCs/>
                <w:sz w:val="22"/>
                <w:szCs w:val="22"/>
              </w:rPr>
              <w:t>,</w:t>
            </w:r>
            <w:r w:rsidRPr="00EA32D0">
              <w:rPr>
                <w:rFonts w:asciiTheme="minorHAnsi" w:hAnsiTheme="minorHAnsi" w:cstheme="minorHAnsi"/>
                <w:iCs/>
                <w:sz w:val="22"/>
                <w:szCs w:val="22"/>
              </w:rPr>
              <w:t xml:space="preserve"> making </w:t>
            </w:r>
            <w:r w:rsidR="0057560A">
              <w:rPr>
                <w:rFonts w:asciiTheme="minorHAnsi" w:hAnsiTheme="minorHAnsi" w:cstheme="minorHAnsi"/>
                <w:iCs/>
                <w:sz w:val="22"/>
                <w:szCs w:val="22"/>
              </w:rPr>
              <w:t xml:space="preserve">positive </w:t>
            </w:r>
            <w:r w:rsidRPr="00EA32D0">
              <w:rPr>
                <w:rFonts w:asciiTheme="minorHAnsi" w:hAnsiTheme="minorHAnsi" w:cstheme="minorHAnsi"/>
                <w:iCs/>
                <w:sz w:val="22"/>
                <w:szCs w:val="22"/>
              </w:rPr>
              <w:t xml:space="preserve">development outcomes more fragile </w:t>
            </w:r>
            <w:r w:rsidR="0057560A">
              <w:rPr>
                <w:rFonts w:asciiTheme="minorHAnsi" w:hAnsiTheme="minorHAnsi" w:cstheme="minorHAnsi"/>
                <w:iCs/>
                <w:sz w:val="22"/>
                <w:szCs w:val="22"/>
              </w:rPr>
              <w:t>and less</w:t>
            </w:r>
            <w:r w:rsidR="0057560A" w:rsidRPr="00EA32D0">
              <w:rPr>
                <w:rFonts w:asciiTheme="minorHAnsi" w:hAnsiTheme="minorHAnsi" w:cstheme="minorHAnsi"/>
                <w:iCs/>
                <w:sz w:val="22"/>
                <w:szCs w:val="22"/>
              </w:rPr>
              <w:t xml:space="preserve"> </w:t>
            </w:r>
            <w:r w:rsidRPr="00EA32D0">
              <w:rPr>
                <w:rFonts w:asciiTheme="minorHAnsi" w:hAnsiTheme="minorHAnsi" w:cstheme="minorHAnsi"/>
                <w:iCs/>
                <w:sz w:val="22"/>
                <w:szCs w:val="22"/>
              </w:rPr>
              <w:t>inclusive.</w:t>
            </w:r>
            <w:r w:rsidR="00C500E8">
              <w:rPr>
                <w:rFonts w:asciiTheme="minorHAnsi" w:hAnsiTheme="minorHAnsi" w:cstheme="minorHAnsi"/>
                <w:iCs/>
                <w:sz w:val="22"/>
                <w:szCs w:val="22"/>
              </w:rPr>
              <w:t xml:space="preserve"> As one community </w:t>
            </w:r>
            <w:r w:rsidR="00B753B4">
              <w:rPr>
                <w:rFonts w:asciiTheme="minorHAnsi" w:hAnsiTheme="minorHAnsi" w:cstheme="minorHAnsi"/>
                <w:iCs/>
                <w:sz w:val="22"/>
                <w:szCs w:val="22"/>
              </w:rPr>
              <w:t>representative</w:t>
            </w:r>
            <w:r w:rsidR="00C500E8">
              <w:rPr>
                <w:rFonts w:asciiTheme="minorHAnsi" w:hAnsiTheme="minorHAnsi" w:cstheme="minorHAnsi"/>
                <w:iCs/>
                <w:sz w:val="22"/>
                <w:szCs w:val="22"/>
              </w:rPr>
              <w:t xml:space="preserve"> expressed</w:t>
            </w:r>
            <w:r w:rsidR="00930EAB">
              <w:rPr>
                <w:rFonts w:asciiTheme="minorHAnsi" w:hAnsiTheme="minorHAnsi" w:cstheme="minorHAnsi"/>
                <w:iCs/>
                <w:sz w:val="22"/>
                <w:szCs w:val="22"/>
              </w:rPr>
              <w:t>:</w:t>
            </w:r>
          </w:p>
          <w:p w14:paraId="2C1D0B97" w14:textId="439F594E" w:rsidR="0047220E" w:rsidRPr="00C765D0" w:rsidRDefault="00C500E8" w:rsidP="00F24FA8">
            <w:pPr>
              <w:pStyle w:val="BulletPoints"/>
              <w:numPr>
                <w:ilvl w:val="0"/>
                <w:numId w:val="0"/>
              </w:numPr>
              <w:spacing w:before="120" w:after="60"/>
              <w:ind w:left="245"/>
              <w:rPr>
                <w:rFonts w:asciiTheme="minorHAnsi" w:hAnsiTheme="minorHAnsi" w:cstheme="minorHAnsi"/>
                <w:i/>
                <w:sz w:val="22"/>
                <w:szCs w:val="22"/>
              </w:rPr>
            </w:pPr>
            <w:r w:rsidRPr="003C3FD0">
              <w:rPr>
                <w:rFonts w:asciiTheme="minorHAnsi" w:hAnsiTheme="minorHAnsi" w:cstheme="minorHAnsi"/>
                <w:i/>
                <w:sz w:val="22"/>
                <w:szCs w:val="22"/>
              </w:rPr>
              <w:t>The news about the oil discovery in our land brough</w:t>
            </w:r>
            <w:r w:rsidR="00D10BE7" w:rsidRPr="003C3FD0">
              <w:rPr>
                <w:rFonts w:asciiTheme="minorHAnsi" w:hAnsiTheme="minorHAnsi" w:cstheme="minorHAnsi"/>
                <w:i/>
                <w:sz w:val="22"/>
                <w:szCs w:val="22"/>
              </w:rPr>
              <w:t>t</w:t>
            </w:r>
            <w:r w:rsidRPr="003C3FD0">
              <w:rPr>
                <w:rFonts w:asciiTheme="minorHAnsi" w:hAnsiTheme="minorHAnsi" w:cstheme="minorHAnsi"/>
                <w:i/>
                <w:sz w:val="22"/>
                <w:szCs w:val="22"/>
              </w:rPr>
              <w:t xml:space="preserve"> with it a great sense of relief as we believed that we would finally have access to good roads, water would finally reach our homes, and our children </w:t>
            </w:r>
            <w:r w:rsidRPr="003C3FD0">
              <w:rPr>
                <w:rFonts w:asciiTheme="minorHAnsi" w:hAnsiTheme="minorHAnsi" w:cstheme="minorHAnsi"/>
                <w:i/>
                <w:sz w:val="22"/>
                <w:szCs w:val="22"/>
              </w:rPr>
              <w:t>would get good jobs. For so long we had been neglected by the government and now we thought that we had something that would also make us important.</w:t>
            </w:r>
            <w:r w:rsidR="0047220E" w:rsidRPr="00C765D0">
              <w:rPr>
                <w:rFonts w:ascii="Times New Roman" w:eastAsiaTheme="minorHAnsi" w:hAnsi="Times New Roman" w:cs="Times New Roman"/>
                <w:kern w:val="2"/>
                <w:sz w:val="22"/>
                <w:szCs w:val="22"/>
                <w:lang w:eastAsia="en-US"/>
                <w14:ligatures w14:val="standardContextual"/>
              </w:rPr>
              <w:t xml:space="preserve"> </w:t>
            </w:r>
            <w:r w:rsidR="0047220E" w:rsidRPr="00C765D0">
              <w:rPr>
                <w:rFonts w:asciiTheme="minorHAnsi" w:hAnsiTheme="minorHAnsi" w:cstheme="minorHAnsi"/>
                <w:i/>
                <w:sz w:val="22"/>
                <w:szCs w:val="22"/>
              </w:rPr>
              <w:t>However, it has been years now and all that can be seen is that our land has been fenced off, our animals have lost grazing fields and jobs have gone to outsiders.</w:t>
            </w:r>
          </w:p>
          <w:p w14:paraId="31AC7FEC" w14:textId="78BFADBA" w:rsidR="00907778" w:rsidRPr="0047220E" w:rsidRDefault="00907778" w:rsidP="00C765D0">
            <w:pPr>
              <w:pStyle w:val="BulletPoints"/>
              <w:numPr>
                <w:ilvl w:val="0"/>
                <w:numId w:val="0"/>
              </w:numPr>
              <w:ind w:left="346" w:right="39"/>
              <w:jc w:val="right"/>
              <w:rPr>
                <w:rFonts w:asciiTheme="minorHAnsi" w:hAnsiTheme="minorHAnsi" w:cstheme="minorHAnsi"/>
                <w:i/>
                <w:szCs w:val="22"/>
              </w:rPr>
            </w:pPr>
            <w:r w:rsidRPr="00907778">
              <w:rPr>
                <w:rFonts w:asciiTheme="minorHAnsi" w:hAnsiTheme="minorHAnsi" w:cstheme="minorHAnsi"/>
                <w:iCs/>
                <w:sz w:val="22"/>
                <w:szCs w:val="22"/>
              </w:rPr>
              <w:t>Interview with Community Representative,</w:t>
            </w:r>
            <w:r w:rsidRPr="0057560A">
              <w:rPr>
                <w:rFonts w:asciiTheme="minorHAnsi" w:hAnsiTheme="minorHAnsi" w:cstheme="minorHAnsi"/>
                <w:iCs/>
                <w:sz w:val="22"/>
                <w:szCs w:val="22"/>
              </w:rPr>
              <w:t xml:space="preserve"> Turkana</w:t>
            </w:r>
            <w:r>
              <w:rPr>
                <w:rFonts w:asciiTheme="minorHAnsi" w:hAnsiTheme="minorHAnsi" w:cstheme="minorHAnsi"/>
                <w:iCs/>
                <w:sz w:val="22"/>
                <w:szCs w:val="22"/>
              </w:rPr>
              <w:t xml:space="preserve"> County (</w:t>
            </w:r>
            <w:r w:rsidRPr="0057560A">
              <w:rPr>
                <w:rFonts w:asciiTheme="minorHAnsi" w:hAnsiTheme="minorHAnsi" w:cstheme="minorHAnsi"/>
                <w:iCs/>
                <w:sz w:val="22"/>
                <w:szCs w:val="22"/>
              </w:rPr>
              <w:t>August 2024</w:t>
            </w:r>
            <w:r>
              <w:rPr>
                <w:rFonts w:asciiTheme="minorHAnsi" w:hAnsiTheme="minorHAnsi" w:cstheme="minorHAnsi"/>
                <w:iCs/>
                <w:sz w:val="22"/>
                <w:szCs w:val="22"/>
              </w:rPr>
              <w:t>)</w:t>
            </w:r>
          </w:p>
          <w:p w14:paraId="542AE1C7" w14:textId="25353BF4" w:rsidR="000945EF" w:rsidRPr="00DA2703" w:rsidRDefault="00FC5AE8" w:rsidP="00B07CE8">
            <w:pPr>
              <w:pStyle w:val="BulletPoints"/>
              <w:numPr>
                <w:ilvl w:val="0"/>
                <w:numId w:val="8"/>
              </w:numPr>
              <w:spacing w:after="0"/>
              <w:rPr>
                <w:rFonts w:asciiTheme="minorHAnsi" w:hAnsiTheme="minorHAnsi" w:cstheme="minorHAnsi"/>
                <w:iCs/>
                <w:strike/>
                <w:sz w:val="22"/>
                <w:szCs w:val="22"/>
              </w:rPr>
            </w:pPr>
            <w:r>
              <w:rPr>
                <w:rFonts w:asciiTheme="minorHAnsi" w:hAnsiTheme="minorHAnsi" w:cstheme="minorHAnsi"/>
                <w:b/>
                <w:bCs/>
                <w:iCs/>
                <w:sz w:val="22"/>
                <w:szCs w:val="22"/>
              </w:rPr>
              <w:t>W</w:t>
            </w:r>
            <w:r w:rsidRPr="00EA32D0">
              <w:rPr>
                <w:rFonts w:asciiTheme="minorHAnsi" w:hAnsiTheme="minorHAnsi" w:cstheme="minorHAnsi"/>
                <w:b/>
                <w:bCs/>
                <w:iCs/>
                <w:sz w:val="22"/>
                <w:szCs w:val="22"/>
              </w:rPr>
              <w:t xml:space="preserve">eak land governance directly undermined livelihoods </w:t>
            </w:r>
          </w:p>
          <w:p w14:paraId="13EBC24B" w14:textId="77777777" w:rsidR="00DA2703" w:rsidRPr="00EA32D0" w:rsidRDefault="00DA2703" w:rsidP="00DA2703">
            <w:pPr>
              <w:pStyle w:val="BulletPoints"/>
              <w:numPr>
                <w:ilvl w:val="0"/>
                <w:numId w:val="0"/>
              </w:numPr>
              <w:spacing w:after="0"/>
              <w:ind w:left="360"/>
              <w:rPr>
                <w:rFonts w:asciiTheme="minorHAnsi" w:hAnsiTheme="minorHAnsi" w:cstheme="minorHAnsi"/>
                <w:iCs/>
                <w:strike/>
                <w:sz w:val="22"/>
                <w:szCs w:val="22"/>
              </w:rPr>
            </w:pPr>
          </w:p>
          <w:p w14:paraId="6FB92A8B" w14:textId="18963238" w:rsidR="009A3E49" w:rsidRPr="00EA32D0" w:rsidRDefault="00D63352" w:rsidP="001345F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 xml:space="preserve">Loss of access to land </w:t>
            </w:r>
            <w:r w:rsidR="00A65894">
              <w:rPr>
                <w:rFonts w:asciiTheme="minorHAnsi" w:hAnsiTheme="minorHAnsi" w:cstheme="minorHAnsi"/>
                <w:iCs/>
                <w:sz w:val="22"/>
                <w:szCs w:val="22"/>
              </w:rPr>
              <w:t xml:space="preserve">was </w:t>
            </w:r>
            <w:r w:rsidRPr="00EA32D0">
              <w:rPr>
                <w:rFonts w:asciiTheme="minorHAnsi" w:hAnsiTheme="minorHAnsi" w:cstheme="minorHAnsi"/>
                <w:iCs/>
                <w:sz w:val="22"/>
                <w:szCs w:val="22"/>
              </w:rPr>
              <w:t>the most</w:t>
            </w:r>
            <w:r w:rsidR="00A65894">
              <w:rPr>
                <w:rFonts w:asciiTheme="minorHAnsi" w:hAnsiTheme="minorHAnsi" w:cstheme="minorHAnsi"/>
                <w:iCs/>
                <w:sz w:val="22"/>
                <w:szCs w:val="22"/>
              </w:rPr>
              <w:t xml:space="preserve"> contested and</w:t>
            </w:r>
            <w:r w:rsidRPr="00EA32D0">
              <w:rPr>
                <w:rFonts w:asciiTheme="minorHAnsi" w:hAnsiTheme="minorHAnsi" w:cstheme="minorHAnsi"/>
                <w:iCs/>
                <w:sz w:val="22"/>
                <w:szCs w:val="22"/>
              </w:rPr>
              <w:t xml:space="preserve"> serious development impact of oil activities in Turkana. Communities report</w:t>
            </w:r>
            <w:r w:rsidR="00E5101E">
              <w:rPr>
                <w:rFonts w:asciiTheme="minorHAnsi" w:hAnsiTheme="minorHAnsi" w:cstheme="minorHAnsi"/>
                <w:iCs/>
                <w:sz w:val="22"/>
                <w:szCs w:val="22"/>
              </w:rPr>
              <w:t>ed</w:t>
            </w:r>
            <w:r w:rsidRPr="00EA32D0">
              <w:rPr>
                <w:rFonts w:asciiTheme="minorHAnsi" w:hAnsiTheme="minorHAnsi" w:cstheme="minorHAnsi"/>
                <w:iCs/>
                <w:sz w:val="22"/>
                <w:szCs w:val="22"/>
              </w:rPr>
              <w:t xml:space="preserve"> grazing areas being fenced off, access routes disrupted and compensation processes that </w:t>
            </w:r>
            <w:r w:rsidR="00E5101E">
              <w:rPr>
                <w:rFonts w:asciiTheme="minorHAnsi" w:hAnsiTheme="minorHAnsi" w:cstheme="minorHAnsi"/>
                <w:iCs/>
                <w:sz w:val="22"/>
                <w:szCs w:val="22"/>
              </w:rPr>
              <w:t>were</w:t>
            </w:r>
            <w:r w:rsidRPr="00EA32D0">
              <w:rPr>
                <w:rFonts w:asciiTheme="minorHAnsi" w:hAnsiTheme="minorHAnsi" w:cstheme="minorHAnsi"/>
                <w:iCs/>
                <w:sz w:val="22"/>
                <w:szCs w:val="22"/>
              </w:rPr>
              <w:t xml:space="preserve"> unclear or contested.</w:t>
            </w:r>
          </w:p>
          <w:p w14:paraId="714E045E" w14:textId="05C19EF0" w:rsidR="009F61D1" w:rsidRPr="0087333C" w:rsidRDefault="00D63352" w:rsidP="00C86F87">
            <w:pPr>
              <w:pStyle w:val="BulletPoints"/>
              <w:numPr>
                <w:ilvl w:val="0"/>
                <w:numId w:val="0"/>
              </w:numPr>
              <w:spacing w:after="0"/>
              <w:ind w:firstLine="340"/>
              <w:rPr>
                <w:rFonts w:ascii="Calibri" w:hAnsi="Calibri" w:cs="Calibri"/>
                <w:iCs/>
                <w:sz w:val="22"/>
                <w:szCs w:val="22"/>
              </w:rPr>
            </w:pPr>
            <w:r w:rsidRPr="00EA32D0">
              <w:rPr>
                <w:rFonts w:asciiTheme="minorHAnsi" w:hAnsiTheme="minorHAnsi" w:cstheme="minorHAnsi"/>
                <w:iCs/>
                <w:sz w:val="22"/>
                <w:szCs w:val="22"/>
              </w:rPr>
              <w:t xml:space="preserve">These </w:t>
            </w:r>
            <w:r w:rsidR="0049273E" w:rsidRPr="00EA32D0">
              <w:rPr>
                <w:rFonts w:asciiTheme="minorHAnsi" w:hAnsiTheme="minorHAnsi" w:cstheme="minorHAnsi"/>
                <w:iCs/>
                <w:sz w:val="22"/>
                <w:szCs w:val="22"/>
              </w:rPr>
              <w:t>outcomes reflect</w:t>
            </w:r>
            <w:r w:rsidR="00A04FC5" w:rsidRPr="00EA32D0">
              <w:rPr>
                <w:rFonts w:asciiTheme="minorHAnsi" w:hAnsiTheme="minorHAnsi" w:cstheme="minorHAnsi"/>
                <w:iCs/>
                <w:sz w:val="22"/>
                <w:szCs w:val="22"/>
              </w:rPr>
              <w:t xml:space="preserve"> the expansion of o</w:t>
            </w:r>
            <w:r w:rsidRPr="00EA32D0">
              <w:rPr>
                <w:rFonts w:asciiTheme="minorHAnsi" w:hAnsiTheme="minorHAnsi" w:cstheme="minorHAnsi"/>
                <w:iCs/>
                <w:sz w:val="22"/>
                <w:szCs w:val="22"/>
              </w:rPr>
              <w:t xml:space="preserve">il activities before community land rights </w:t>
            </w:r>
            <w:r w:rsidR="00D026C1">
              <w:rPr>
                <w:rFonts w:asciiTheme="minorHAnsi" w:hAnsiTheme="minorHAnsi" w:cstheme="minorHAnsi"/>
                <w:iCs/>
                <w:sz w:val="22"/>
                <w:szCs w:val="22"/>
              </w:rPr>
              <w:t>were</w:t>
            </w:r>
            <w:r w:rsidR="00D026C1" w:rsidRPr="00EA32D0">
              <w:rPr>
                <w:rFonts w:asciiTheme="minorHAnsi" w:hAnsiTheme="minorHAnsi" w:cstheme="minorHAnsi"/>
                <w:iCs/>
                <w:sz w:val="22"/>
                <w:szCs w:val="22"/>
              </w:rPr>
              <w:t xml:space="preserve"> </w:t>
            </w:r>
            <w:r w:rsidRPr="00EA32D0">
              <w:rPr>
                <w:rFonts w:asciiTheme="minorHAnsi" w:hAnsiTheme="minorHAnsi" w:cstheme="minorHAnsi"/>
                <w:iCs/>
                <w:sz w:val="22"/>
                <w:szCs w:val="22"/>
              </w:rPr>
              <w:t xml:space="preserve">formally registered, allowing land access decisions to be approved through administrative processes with limited community consent or ability to challenge them </w:t>
            </w:r>
            <w:r w:rsidR="00387163" w:rsidRPr="0087333C">
              <w:rPr>
                <w:rFonts w:ascii="Calibri" w:hAnsi="Calibri" w:cs="Calibri"/>
                <w:iCs/>
                <w:sz w:val="22"/>
                <w:szCs w:val="22"/>
              </w:rPr>
              <w:fldChar w:fldCharType="begin"/>
            </w:r>
            <w:r w:rsidR="006C208C" w:rsidRPr="0087333C">
              <w:rPr>
                <w:rFonts w:ascii="Calibri" w:hAnsi="Calibri" w:cs="Calibri"/>
                <w:iCs/>
                <w:sz w:val="22"/>
                <w:szCs w:val="22"/>
              </w:rPr>
              <w:instrText xml:space="preserve"> ADDIN ZOTERO_ITEM CSL_CITATION {"citationID":"dPYCdmSh","properties":{"formattedCitation":"(Mkutu et al., 2019)","plainCitation":"(Mkutu et al., 2019)","noteIndex":0},"citationItems":[{"id":1121,"uris":["http://zotero.org/users/11681747/items/ENHYMBVT"],"itemData":{"id":1121,"type":"article-journal","abstract":"Recent discoveries of oil and gas in eastern Africa often happen in marginalized and underdeveloped areas, such as Turkana, Kenya, an arid county inhabited predominantly by pastoralists. As a result of low political participation and weak governance frameworks for the emerging hydrocarbon industry, the pastoralists face displacement from land, exposure to environmental hazards, and exclusion from decision-making and benefit-sharing arrangements. Their interests are further sidelined by elite capture and a strong national development agenda supported by international actors. Community members have aired their grievances against both the investor and the state through protests, disrupting company operations. This work argues that two of the pillars of environmental justice, participation and recognition, are lacking in the county and that authentic participation should be pursued to avoid destruction of community capabilities and conflict. Because there is historical opposition to the state and its allies, the county government should consider working closely with trusted providers in the county, namely, faith-based organizations and their civil society counterparts, to bring about more authentic participation, community empowerment, and ultimately better governance for just distribution of benefits and harms.","container-title":"The Journal of Environment &amp; Development","DOI":"10.1177/1070496519857776","ISSN":"1070-4965, 1552-5465","issue":"3","journalAbbreviation":"The Journal of Environment &amp; Development","language":"en","page":"223-252","source":"DOI.org (Crossref)","title":"New Oil Developments in a Remote Area: Environmental Justice and Participation in Turkana, Kenya","title-short":"New Oil Developments in a Remote Area","volume":"28","author":[{"family":"Mkutu","given":"Kennedy"},{"family":"Mkutu","given":"Tessa"},{"family":"Marani","given":"Martin"},{"family":"Ekitela","given":"Augustine Lokwang"}],"issued":{"date-parts":[["2019",9]]}}}],"schema":"https://github.com/citation-style-language/schema/raw/master/csl-citation.json"} </w:instrText>
            </w:r>
            <w:r w:rsidR="00387163" w:rsidRPr="0087333C">
              <w:rPr>
                <w:rFonts w:ascii="Calibri" w:hAnsi="Calibri" w:cs="Calibri"/>
                <w:iCs/>
                <w:sz w:val="22"/>
                <w:szCs w:val="22"/>
              </w:rPr>
              <w:fldChar w:fldCharType="separate"/>
            </w:r>
            <w:r w:rsidR="006C208C" w:rsidRPr="0087333C">
              <w:rPr>
                <w:rFonts w:ascii="Calibri" w:hAnsi="Calibri" w:cs="Calibri"/>
                <w:sz w:val="22"/>
                <w:szCs w:val="22"/>
              </w:rPr>
              <w:t>(</w:t>
            </w:r>
            <w:proofErr w:type="spellStart"/>
            <w:r w:rsidR="006C208C" w:rsidRPr="0087333C">
              <w:rPr>
                <w:rFonts w:ascii="Calibri" w:hAnsi="Calibri" w:cs="Calibri"/>
                <w:sz w:val="22"/>
                <w:szCs w:val="22"/>
              </w:rPr>
              <w:t>Mkutu</w:t>
            </w:r>
            <w:proofErr w:type="spellEnd"/>
            <w:r w:rsidR="006C208C" w:rsidRPr="0087333C">
              <w:rPr>
                <w:rFonts w:ascii="Calibri" w:hAnsi="Calibri" w:cs="Calibri"/>
                <w:sz w:val="22"/>
                <w:szCs w:val="22"/>
              </w:rPr>
              <w:t xml:space="preserve"> et al., 2019)</w:t>
            </w:r>
            <w:r w:rsidR="00387163" w:rsidRPr="0087333C">
              <w:rPr>
                <w:rFonts w:ascii="Calibri" w:hAnsi="Calibri" w:cs="Calibri"/>
                <w:iCs/>
                <w:sz w:val="22"/>
                <w:szCs w:val="22"/>
              </w:rPr>
              <w:fldChar w:fldCharType="end"/>
            </w:r>
            <w:r w:rsidR="00312C5E" w:rsidRPr="0087333C">
              <w:rPr>
                <w:rFonts w:ascii="Calibri" w:hAnsi="Calibri" w:cs="Calibri"/>
                <w:iCs/>
                <w:sz w:val="22"/>
                <w:szCs w:val="22"/>
              </w:rPr>
              <w:t xml:space="preserve">. </w:t>
            </w:r>
          </w:p>
          <w:p w14:paraId="5FFB3153" w14:textId="671906C0" w:rsidR="009F61D1" w:rsidRPr="00EA32D0" w:rsidRDefault="009F61D1" w:rsidP="00C86F87">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 xml:space="preserve">For </w:t>
            </w:r>
            <w:r w:rsidR="008D7D17">
              <w:rPr>
                <w:rFonts w:asciiTheme="minorHAnsi" w:hAnsiTheme="minorHAnsi" w:cstheme="minorHAnsi"/>
                <w:iCs/>
                <w:sz w:val="22"/>
                <w:szCs w:val="22"/>
              </w:rPr>
              <w:t>the pastoralist Turkana community, land insecurity translates directly into livelihood loss, food insecurity, and increased conflict risk with</w:t>
            </w:r>
            <w:r w:rsidR="002706B9" w:rsidRPr="00EA32D0">
              <w:rPr>
                <w:rFonts w:asciiTheme="minorHAnsi" w:hAnsiTheme="minorHAnsi" w:cstheme="minorHAnsi"/>
                <w:iCs/>
                <w:sz w:val="22"/>
                <w:szCs w:val="22"/>
              </w:rPr>
              <w:t xml:space="preserve"> </w:t>
            </w:r>
            <w:r w:rsidR="007B2675" w:rsidRPr="00EA32D0">
              <w:rPr>
                <w:rFonts w:asciiTheme="minorHAnsi" w:hAnsiTheme="minorHAnsi" w:cstheme="minorHAnsi"/>
                <w:iCs/>
                <w:sz w:val="22"/>
                <w:szCs w:val="22"/>
              </w:rPr>
              <w:t>neighbouring communities</w:t>
            </w:r>
            <w:r w:rsidR="0036022C" w:rsidRPr="00EA32D0">
              <w:rPr>
                <w:rFonts w:asciiTheme="minorHAnsi" w:hAnsiTheme="minorHAnsi" w:cstheme="minorHAnsi"/>
                <w:iCs/>
                <w:sz w:val="22"/>
                <w:szCs w:val="22"/>
              </w:rPr>
              <w:t xml:space="preserve"> over resources</w:t>
            </w:r>
            <w:r w:rsidRPr="00EA32D0">
              <w:rPr>
                <w:rFonts w:asciiTheme="minorHAnsi" w:hAnsiTheme="minorHAnsi" w:cstheme="minorHAnsi"/>
                <w:iCs/>
                <w:sz w:val="22"/>
                <w:szCs w:val="22"/>
              </w:rPr>
              <w:t>, making development gains difficult to sustain.</w:t>
            </w:r>
          </w:p>
          <w:p w14:paraId="177C91DA" w14:textId="77777777" w:rsidR="007B2675" w:rsidRPr="00EA32D0" w:rsidRDefault="007B2675" w:rsidP="001345F0">
            <w:pPr>
              <w:pStyle w:val="BulletPoints"/>
              <w:numPr>
                <w:ilvl w:val="0"/>
                <w:numId w:val="0"/>
              </w:numPr>
              <w:spacing w:after="0"/>
              <w:rPr>
                <w:rFonts w:asciiTheme="minorHAnsi" w:hAnsiTheme="minorHAnsi" w:cstheme="minorHAnsi"/>
                <w:iCs/>
                <w:sz w:val="22"/>
                <w:szCs w:val="22"/>
              </w:rPr>
            </w:pPr>
          </w:p>
          <w:p w14:paraId="60E9CFF2" w14:textId="4D101AE3" w:rsidR="00CC1582" w:rsidRPr="00DA2703" w:rsidRDefault="000A7F1A" w:rsidP="00B07CE8">
            <w:pPr>
              <w:pStyle w:val="BulletPoints"/>
              <w:numPr>
                <w:ilvl w:val="0"/>
                <w:numId w:val="8"/>
              </w:numPr>
              <w:spacing w:after="0"/>
              <w:rPr>
                <w:rFonts w:asciiTheme="minorHAnsi" w:hAnsiTheme="minorHAnsi" w:cstheme="minorHAnsi"/>
                <w:b/>
                <w:bCs/>
                <w:sz w:val="22"/>
                <w:szCs w:val="22"/>
              </w:rPr>
            </w:pPr>
            <w:r w:rsidRPr="00CC7A2D">
              <w:rPr>
                <w:rFonts w:asciiTheme="minorHAnsi" w:hAnsiTheme="minorHAnsi" w:cstheme="minorHAnsi"/>
                <w:b/>
                <w:bCs/>
                <w:iCs/>
                <w:sz w:val="22"/>
                <w:szCs w:val="22"/>
              </w:rPr>
              <w:t xml:space="preserve">Participation </w:t>
            </w:r>
            <w:r w:rsidR="0057560A" w:rsidRPr="00CC7A2D">
              <w:rPr>
                <w:rFonts w:asciiTheme="minorHAnsi" w:hAnsiTheme="minorHAnsi" w:cstheme="minorHAnsi"/>
                <w:b/>
                <w:bCs/>
                <w:iCs/>
                <w:sz w:val="22"/>
                <w:szCs w:val="22"/>
              </w:rPr>
              <w:t xml:space="preserve">schemes </w:t>
            </w:r>
            <w:r w:rsidR="00E56E66" w:rsidRPr="00CC7A2D">
              <w:rPr>
                <w:rFonts w:asciiTheme="minorHAnsi" w:hAnsiTheme="minorHAnsi" w:cstheme="minorHAnsi"/>
                <w:b/>
                <w:bCs/>
                <w:iCs/>
                <w:sz w:val="22"/>
                <w:szCs w:val="22"/>
              </w:rPr>
              <w:t>did</w:t>
            </w:r>
            <w:r w:rsidR="00320220" w:rsidRPr="00CC7A2D">
              <w:rPr>
                <w:rFonts w:asciiTheme="minorHAnsi" w:hAnsiTheme="minorHAnsi" w:cstheme="minorHAnsi"/>
                <w:b/>
                <w:bCs/>
                <w:iCs/>
                <w:sz w:val="22"/>
                <w:szCs w:val="22"/>
              </w:rPr>
              <w:t xml:space="preserve"> not </w:t>
            </w:r>
            <w:r w:rsidR="007E3C55">
              <w:rPr>
                <w:rFonts w:asciiTheme="minorHAnsi" w:hAnsiTheme="minorHAnsi" w:cstheme="minorHAnsi"/>
                <w:b/>
                <w:bCs/>
                <w:iCs/>
                <w:sz w:val="22"/>
                <w:szCs w:val="22"/>
              </w:rPr>
              <w:t>provide</w:t>
            </w:r>
            <w:r w:rsidR="00320220" w:rsidRPr="00CC7A2D">
              <w:rPr>
                <w:rFonts w:asciiTheme="minorHAnsi" w:hAnsiTheme="minorHAnsi" w:cstheme="minorHAnsi"/>
                <w:b/>
                <w:bCs/>
                <w:iCs/>
                <w:sz w:val="22"/>
                <w:szCs w:val="22"/>
              </w:rPr>
              <w:t xml:space="preserve"> communities </w:t>
            </w:r>
            <w:r w:rsidR="007E3C55">
              <w:rPr>
                <w:rFonts w:asciiTheme="minorHAnsi" w:hAnsiTheme="minorHAnsi" w:cstheme="minorHAnsi"/>
                <w:b/>
                <w:bCs/>
                <w:iCs/>
                <w:sz w:val="22"/>
                <w:szCs w:val="22"/>
              </w:rPr>
              <w:t xml:space="preserve">with </w:t>
            </w:r>
            <w:r w:rsidR="0057560A" w:rsidRPr="00CC7A2D">
              <w:rPr>
                <w:rFonts w:asciiTheme="minorHAnsi" w:hAnsiTheme="minorHAnsi" w:cstheme="minorHAnsi"/>
                <w:b/>
                <w:bCs/>
                <w:iCs/>
                <w:sz w:val="22"/>
                <w:szCs w:val="22"/>
              </w:rPr>
              <w:t xml:space="preserve">meaningful </w:t>
            </w:r>
            <w:r w:rsidR="007E3C55">
              <w:rPr>
                <w:rFonts w:asciiTheme="minorHAnsi" w:hAnsiTheme="minorHAnsi" w:cstheme="minorHAnsi"/>
                <w:b/>
                <w:bCs/>
                <w:iCs/>
                <w:sz w:val="22"/>
                <w:szCs w:val="22"/>
              </w:rPr>
              <w:t>influence over key decisions</w:t>
            </w:r>
          </w:p>
          <w:p w14:paraId="52F6D1C2" w14:textId="77777777" w:rsidR="00DA2703" w:rsidRPr="00C765D0" w:rsidRDefault="00DA2703" w:rsidP="00DA2703">
            <w:pPr>
              <w:pStyle w:val="BulletPoints"/>
              <w:numPr>
                <w:ilvl w:val="0"/>
                <w:numId w:val="0"/>
              </w:numPr>
              <w:spacing w:after="0"/>
              <w:ind w:left="360"/>
              <w:rPr>
                <w:rFonts w:asciiTheme="minorHAnsi" w:hAnsiTheme="minorHAnsi" w:cstheme="minorHAnsi"/>
                <w:b/>
                <w:bCs/>
                <w:sz w:val="22"/>
                <w:szCs w:val="22"/>
              </w:rPr>
            </w:pPr>
          </w:p>
          <w:p w14:paraId="5AAEFC7C" w14:textId="4624E14C" w:rsidR="006C589E" w:rsidRPr="00D2658E" w:rsidRDefault="00BB34A8" w:rsidP="00C765D0">
            <w:pPr>
              <w:pStyle w:val="BulletPoints"/>
              <w:numPr>
                <w:ilvl w:val="0"/>
                <w:numId w:val="0"/>
              </w:numPr>
              <w:spacing w:after="0"/>
              <w:rPr>
                <w:rFonts w:asciiTheme="minorHAnsi" w:hAnsiTheme="minorHAnsi" w:cstheme="minorHAnsi"/>
                <w:iCs/>
                <w:sz w:val="22"/>
                <w:szCs w:val="22"/>
              </w:rPr>
            </w:pPr>
            <w:r w:rsidRPr="00D2658E">
              <w:rPr>
                <w:rFonts w:asciiTheme="minorHAnsi" w:hAnsiTheme="minorHAnsi" w:cstheme="minorHAnsi"/>
                <w:iCs/>
                <w:sz w:val="22"/>
                <w:szCs w:val="22"/>
              </w:rPr>
              <w:t xml:space="preserve">Kenya has progressive legal frameworks that </w:t>
            </w:r>
            <w:r w:rsidR="002E121F">
              <w:rPr>
                <w:rFonts w:asciiTheme="minorHAnsi" w:hAnsiTheme="minorHAnsi" w:cstheme="minorHAnsi"/>
                <w:iCs/>
                <w:sz w:val="22"/>
                <w:szCs w:val="22"/>
              </w:rPr>
              <w:t>mandate</w:t>
            </w:r>
            <w:r w:rsidRPr="00D2658E">
              <w:rPr>
                <w:rFonts w:asciiTheme="minorHAnsi" w:hAnsiTheme="minorHAnsi" w:cstheme="minorHAnsi"/>
                <w:iCs/>
                <w:sz w:val="22"/>
                <w:szCs w:val="22"/>
              </w:rPr>
              <w:t xml:space="preserve"> public participation in the extractive governance</w:t>
            </w:r>
            <w:r w:rsidR="00F6221C" w:rsidRPr="00D2658E">
              <w:rPr>
                <w:rFonts w:asciiTheme="minorHAnsi" w:hAnsiTheme="minorHAnsi" w:cstheme="minorHAnsi"/>
                <w:iCs/>
                <w:sz w:val="22"/>
                <w:szCs w:val="22"/>
              </w:rPr>
              <w:t xml:space="preserve"> (P</w:t>
            </w:r>
            <w:r w:rsidR="00DC7A27" w:rsidRPr="00D2658E">
              <w:rPr>
                <w:rFonts w:asciiTheme="minorHAnsi" w:hAnsiTheme="minorHAnsi" w:cstheme="minorHAnsi"/>
                <w:iCs/>
                <w:sz w:val="22"/>
                <w:szCs w:val="22"/>
              </w:rPr>
              <w:t>etroleum Act 2019</w:t>
            </w:r>
            <w:r w:rsidR="00495D1A" w:rsidRPr="00D2658E">
              <w:rPr>
                <w:rFonts w:asciiTheme="minorHAnsi" w:hAnsiTheme="minorHAnsi" w:cstheme="minorHAnsi"/>
                <w:iCs/>
                <w:sz w:val="22"/>
                <w:szCs w:val="22"/>
              </w:rPr>
              <w:t xml:space="preserve">, </w:t>
            </w:r>
            <w:r w:rsidR="00B63D60">
              <w:rPr>
                <w:rFonts w:asciiTheme="minorHAnsi" w:hAnsiTheme="minorHAnsi" w:cstheme="minorHAnsi"/>
                <w:iCs/>
                <w:sz w:val="22"/>
                <w:szCs w:val="22"/>
              </w:rPr>
              <w:t>Land Act 2012</w:t>
            </w:r>
            <w:r w:rsidR="003E05BD">
              <w:rPr>
                <w:rFonts w:asciiTheme="minorHAnsi" w:hAnsiTheme="minorHAnsi" w:cstheme="minorHAnsi"/>
                <w:iCs/>
                <w:sz w:val="22"/>
                <w:szCs w:val="22"/>
              </w:rPr>
              <w:t xml:space="preserve">, </w:t>
            </w:r>
            <w:r w:rsidR="0079381C" w:rsidRPr="00D2658E">
              <w:rPr>
                <w:rFonts w:asciiTheme="minorHAnsi" w:hAnsiTheme="minorHAnsi" w:cstheme="minorHAnsi"/>
                <w:iCs/>
                <w:sz w:val="22"/>
                <w:szCs w:val="22"/>
              </w:rPr>
              <w:t>C</w:t>
            </w:r>
            <w:r w:rsidR="00495D1A" w:rsidRPr="00D2658E">
              <w:rPr>
                <w:rFonts w:asciiTheme="minorHAnsi" w:hAnsiTheme="minorHAnsi" w:cstheme="minorHAnsi"/>
                <w:iCs/>
                <w:sz w:val="22"/>
                <w:szCs w:val="22"/>
              </w:rPr>
              <w:t xml:space="preserve">ommunity </w:t>
            </w:r>
            <w:r w:rsidR="008D7D17">
              <w:rPr>
                <w:rFonts w:asciiTheme="minorHAnsi" w:hAnsiTheme="minorHAnsi" w:cstheme="minorHAnsi"/>
                <w:iCs/>
                <w:sz w:val="22"/>
                <w:szCs w:val="22"/>
              </w:rPr>
              <w:t>L</w:t>
            </w:r>
            <w:r w:rsidR="008D7D17" w:rsidRPr="00D2658E">
              <w:rPr>
                <w:rFonts w:asciiTheme="minorHAnsi" w:hAnsiTheme="minorHAnsi" w:cstheme="minorHAnsi"/>
                <w:iCs/>
                <w:sz w:val="22"/>
                <w:szCs w:val="22"/>
              </w:rPr>
              <w:t xml:space="preserve">and </w:t>
            </w:r>
            <w:r w:rsidR="00495D1A" w:rsidRPr="00D2658E">
              <w:rPr>
                <w:rFonts w:asciiTheme="minorHAnsi" w:hAnsiTheme="minorHAnsi" w:cstheme="minorHAnsi"/>
                <w:iCs/>
                <w:sz w:val="22"/>
                <w:szCs w:val="22"/>
              </w:rPr>
              <w:t>Act 2016</w:t>
            </w:r>
            <w:r w:rsidR="0079381C" w:rsidRPr="00D2658E">
              <w:rPr>
                <w:rFonts w:asciiTheme="minorHAnsi" w:hAnsiTheme="minorHAnsi" w:cstheme="minorHAnsi"/>
                <w:iCs/>
                <w:sz w:val="22"/>
                <w:szCs w:val="22"/>
              </w:rPr>
              <w:t xml:space="preserve">, </w:t>
            </w:r>
            <w:r w:rsidR="008D541C" w:rsidRPr="00D2658E">
              <w:rPr>
                <w:rFonts w:asciiTheme="minorHAnsi" w:hAnsiTheme="minorHAnsi" w:cstheme="minorHAnsi"/>
                <w:iCs/>
                <w:sz w:val="22"/>
                <w:szCs w:val="22"/>
              </w:rPr>
              <w:t>Turkana County</w:t>
            </w:r>
            <w:r w:rsidR="00842807" w:rsidRPr="00D2658E">
              <w:rPr>
                <w:rFonts w:asciiTheme="minorHAnsi" w:hAnsiTheme="minorHAnsi" w:cstheme="minorHAnsi"/>
                <w:iCs/>
                <w:sz w:val="22"/>
                <w:szCs w:val="22"/>
              </w:rPr>
              <w:t xml:space="preserve"> P</w:t>
            </w:r>
            <w:r w:rsidR="00495D1A" w:rsidRPr="00D2658E">
              <w:rPr>
                <w:rFonts w:asciiTheme="minorHAnsi" w:hAnsiTheme="minorHAnsi" w:cstheme="minorHAnsi"/>
                <w:iCs/>
                <w:sz w:val="22"/>
                <w:szCs w:val="22"/>
              </w:rPr>
              <w:t xml:space="preserve">ublic </w:t>
            </w:r>
            <w:r w:rsidR="00842807" w:rsidRPr="00D2658E">
              <w:rPr>
                <w:rFonts w:asciiTheme="minorHAnsi" w:hAnsiTheme="minorHAnsi" w:cstheme="minorHAnsi"/>
                <w:iCs/>
                <w:sz w:val="22"/>
                <w:szCs w:val="22"/>
              </w:rPr>
              <w:t>P</w:t>
            </w:r>
            <w:r w:rsidR="00495D1A" w:rsidRPr="00D2658E">
              <w:rPr>
                <w:rFonts w:asciiTheme="minorHAnsi" w:hAnsiTheme="minorHAnsi" w:cstheme="minorHAnsi"/>
                <w:iCs/>
                <w:sz w:val="22"/>
                <w:szCs w:val="22"/>
              </w:rPr>
              <w:t xml:space="preserve">articipation Act 2015, </w:t>
            </w:r>
            <w:r w:rsidR="00842807" w:rsidRPr="00D2658E">
              <w:rPr>
                <w:rFonts w:asciiTheme="minorHAnsi" w:hAnsiTheme="minorHAnsi" w:cstheme="minorHAnsi"/>
                <w:iCs/>
                <w:sz w:val="22"/>
                <w:szCs w:val="22"/>
              </w:rPr>
              <w:t>C</w:t>
            </w:r>
            <w:r w:rsidR="00495D1A" w:rsidRPr="00D2658E">
              <w:rPr>
                <w:rFonts w:asciiTheme="minorHAnsi" w:hAnsiTheme="minorHAnsi" w:cstheme="minorHAnsi"/>
                <w:iCs/>
                <w:sz w:val="22"/>
                <w:szCs w:val="22"/>
              </w:rPr>
              <w:t xml:space="preserve">onstitution </w:t>
            </w:r>
            <w:r w:rsidR="00842807" w:rsidRPr="00D2658E">
              <w:rPr>
                <w:rFonts w:asciiTheme="minorHAnsi" w:hAnsiTheme="minorHAnsi" w:cstheme="minorHAnsi"/>
                <w:iCs/>
                <w:sz w:val="22"/>
                <w:szCs w:val="22"/>
              </w:rPr>
              <w:t xml:space="preserve">of Kenya </w:t>
            </w:r>
            <w:r w:rsidR="00495D1A" w:rsidRPr="00D2658E">
              <w:rPr>
                <w:rFonts w:asciiTheme="minorHAnsi" w:hAnsiTheme="minorHAnsi" w:cstheme="minorHAnsi"/>
                <w:iCs/>
                <w:sz w:val="22"/>
                <w:szCs w:val="22"/>
              </w:rPr>
              <w:t>2010</w:t>
            </w:r>
            <w:r w:rsidR="0079381C" w:rsidRPr="00D2658E">
              <w:rPr>
                <w:rFonts w:asciiTheme="minorHAnsi" w:hAnsiTheme="minorHAnsi" w:cstheme="minorHAnsi"/>
                <w:iCs/>
                <w:sz w:val="22"/>
                <w:szCs w:val="22"/>
              </w:rPr>
              <w:t xml:space="preserve"> and Publ</w:t>
            </w:r>
            <w:r w:rsidR="0079381C" w:rsidRPr="00BA28C6">
              <w:rPr>
                <w:rFonts w:asciiTheme="minorHAnsi" w:hAnsiTheme="minorHAnsi" w:cstheme="minorHAnsi"/>
                <w:iCs/>
                <w:sz w:val="22"/>
                <w:szCs w:val="22"/>
              </w:rPr>
              <w:t>ic</w:t>
            </w:r>
            <w:r w:rsidR="001745BC" w:rsidRPr="00D2658E">
              <w:rPr>
                <w:rFonts w:asciiTheme="minorHAnsi" w:hAnsiTheme="minorHAnsi" w:cstheme="minorHAnsi"/>
                <w:iCs/>
                <w:sz w:val="22"/>
                <w:szCs w:val="22"/>
              </w:rPr>
              <w:t xml:space="preserve"> Participation Policy</w:t>
            </w:r>
            <w:r w:rsidR="00695E42">
              <w:rPr>
                <w:rFonts w:asciiTheme="minorHAnsi" w:hAnsiTheme="minorHAnsi" w:cstheme="minorHAnsi"/>
                <w:iCs/>
                <w:sz w:val="22"/>
                <w:szCs w:val="22"/>
              </w:rPr>
              <w:t xml:space="preserve"> 20</w:t>
            </w:r>
            <w:r w:rsidR="003E05BD">
              <w:rPr>
                <w:rFonts w:asciiTheme="minorHAnsi" w:hAnsiTheme="minorHAnsi" w:cstheme="minorHAnsi"/>
                <w:iCs/>
                <w:sz w:val="22"/>
                <w:szCs w:val="22"/>
              </w:rPr>
              <w:t>23</w:t>
            </w:r>
            <w:r w:rsidR="00384D22" w:rsidRPr="00D2658E">
              <w:rPr>
                <w:rFonts w:asciiTheme="minorHAnsi" w:hAnsiTheme="minorHAnsi" w:cstheme="minorHAnsi"/>
                <w:iCs/>
                <w:sz w:val="22"/>
                <w:szCs w:val="22"/>
              </w:rPr>
              <w:t xml:space="preserve">). However, </w:t>
            </w:r>
            <w:r w:rsidR="00875026">
              <w:rPr>
                <w:rFonts w:asciiTheme="minorHAnsi" w:hAnsiTheme="minorHAnsi" w:cstheme="minorHAnsi"/>
                <w:iCs/>
                <w:sz w:val="22"/>
                <w:szCs w:val="22"/>
              </w:rPr>
              <w:t xml:space="preserve">evidence </w:t>
            </w:r>
            <w:r w:rsidR="006A3D1C">
              <w:rPr>
                <w:rFonts w:asciiTheme="minorHAnsi" w:hAnsiTheme="minorHAnsi" w:cstheme="minorHAnsi"/>
                <w:iCs/>
                <w:sz w:val="22"/>
                <w:szCs w:val="22"/>
              </w:rPr>
              <w:t>shows that</w:t>
            </w:r>
            <w:r w:rsidR="00384D22" w:rsidRPr="00D2658E">
              <w:rPr>
                <w:rFonts w:asciiTheme="minorHAnsi" w:hAnsiTheme="minorHAnsi" w:cstheme="minorHAnsi"/>
                <w:iCs/>
                <w:sz w:val="22"/>
                <w:szCs w:val="22"/>
              </w:rPr>
              <w:t xml:space="preserve"> </w:t>
            </w:r>
            <w:r w:rsidR="0057560A" w:rsidRPr="00D2658E">
              <w:rPr>
                <w:rFonts w:asciiTheme="minorHAnsi" w:hAnsiTheme="minorHAnsi" w:cstheme="minorHAnsi"/>
                <w:iCs/>
                <w:sz w:val="22"/>
                <w:szCs w:val="22"/>
              </w:rPr>
              <w:t>in practice</w:t>
            </w:r>
            <w:r w:rsidR="0057560A">
              <w:rPr>
                <w:rFonts w:asciiTheme="minorHAnsi" w:hAnsiTheme="minorHAnsi" w:cstheme="minorHAnsi"/>
                <w:iCs/>
                <w:sz w:val="22"/>
                <w:szCs w:val="22"/>
              </w:rPr>
              <w:t>,</w:t>
            </w:r>
            <w:r w:rsidR="0057560A" w:rsidRPr="00D2658E">
              <w:rPr>
                <w:rFonts w:asciiTheme="minorHAnsi" w:hAnsiTheme="minorHAnsi" w:cstheme="minorHAnsi"/>
                <w:iCs/>
                <w:sz w:val="22"/>
                <w:szCs w:val="22"/>
              </w:rPr>
              <w:t xml:space="preserve"> </w:t>
            </w:r>
            <w:r w:rsidR="00384D22" w:rsidRPr="00D2658E">
              <w:rPr>
                <w:rFonts w:asciiTheme="minorHAnsi" w:hAnsiTheme="minorHAnsi" w:cstheme="minorHAnsi"/>
                <w:iCs/>
                <w:sz w:val="22"/>
                <w:szCs w:val="22"/>
              </w:rPr>
              <w:t xml:space="preserve">public participation </w:t>
            </w:r>
            <w:r w:rsidR="0057560A">
              <w:rPr>
                <w:rFonts w:asciiTheme="minorHAnsi" w:hAnsiTheme="minorHAnsi" w:cstheme="minorHAnsi"/>
                <w:iCs/>
                <w:sz w:val="22"/>
                <w:szCs w:val="22"/>
              </w:rPr>
              <w:t xml:space="preserve">over Turkana’s oil projects </w:t>
            </w:r>
            <w:r w:rsidR="00384D22" w:rsidRPr="00D2658E">
              <w:rPr>
                <w:rFonts w:asciiTheme="minorHAnsi" w:hAnsiTheme="minorHAnsi" w:cstheme="minorHAnsi"/>
                <w:iCs/>
                <w:sz w:val="22"/>
                <w:szCs w:val="22"/>
              </w:rPr>
              <w:t>remain</w:t>
            </w:r>
            <w:r w:rsidR="003E05BD">
              <w:rPr>
                <w:rFonts w:asciiTheme="minorHAnsi" w:hAnsiTheme="minorHAnsi" w:cstheme="minorHAnsi"/>
                <w:iCs/>
                <w:sz w:val="22"/>
                <w:szCs w:val="22"/>
              </w:rPr>
              <w:t>ed</w:t>
            </w:r>
            <w:r w:rsidR="00384D22" w:rsidRPr="00D2658E">
              <w:rPr>
                <w:rFonts w:asciiTheme="minorHAnsi" w:hAnsiTheme="minorHAnsi" w:cstheme="minorHAnsi"/>
                <w:iCs/>
                <w:sz w:val="22"/>
                <w:szCs w:val="22"/>
              </w:rPr>
              <w:t xml:space="preserve"> highly selective, symbolic and </w:t>
            </w:r>
            <w:r w:rsidR="000056F4">
              <w:rPr>
                <w:rFonts w:asciiTheme="minorHAnsi" w:hAnsiTheme="minorHAnsi" w:cstheme="minorHAnsi"/>
                <w:iCs/>
                <w:sz w:val="22"/>
                <w:szCs w:val="22"/>
              </w:rPr>
              <w:t>often mediated</w:t>
            </w:r>
            <w:r w:rsidR="001A41D0">
              <w:rPr>
                <w:rFonts w:asciiTheme="minorHAnsi" w:hAnsiTheme="minorHAnsi" w:cstheme="minorHAnsi"/>
                <w:iCs/>
                <w:sz w:val="22"/>
                <w:szCs w:val="22"/>
              </w:rPr>
              <w:t xml:space="preserve"> through</w:t>
            </w:r>
            <w:r w:rsidR="00384D22" w:rsidRPr="00D2658E">
              <w:rPr>
                <w:rFonts w:asciiTheme="minorHAnsi" w:hAnsiTheme="minorHAnsi" w:cstheme="minorHAnsi"/>
                <w:iCs/>
                <w:sz w:val="22"/>
                <w:szCs w:val="22"/>
              </w:rPr>
              <w:t xml:space="preserve"> </w:t>
            </w:r>
            <w:r w:rsidR="001A41D0">
              <w:rPr>
                <w:rFonts w:asciiTheme="minorHAnsi" w:hAnsiTheme="minorHAnsi" w:cstheme="minorHAnsi"/>
                <w:iCs/>
                <w:sz w:val="22"/>
                <w:szCs w:val="22"/>
              </w:rPr>
              <w:t xml:space="preserve">political or </w:t>
            </w:r>
            <w:r w:rsidR="00885313">
              <w:rPr>
                <w:rFonts w:asciiTheme="minorHAnsi" w:hAnsiTheme="minorHAnsi" w:cstheme="minorHAnsi"/>
                <w:iCs/>
                <w:sz w:val="22"/>
                <w:szCs w:val="22"/>
              </w:rPr>
              <w:t xml:space="preserve">elite </w:t>
            </w:r>
            <w:r w:rsidR="00384D22" w:rsidRPr="00D2658E">
              <w:rPr>
                <w:rFonts w:asciiTheme="minorHAnsi" w:hAnsiTheme="minorHAnsi" w:cstheme="minorHAnsi"/>
                <w:iCs/>
                <w:sz w:val="22"/>
                <w:szCs w:val="22"/>
              </w:rPr>
              <w:t>actors</w:t>
            </w:r>
            <w:r w:rsidR="00D2658E">
              <w:rPr>
                <w:rFonts w:asciiTheme="minorHAnsi" w:hAnsiTheme="minorHAnsi" w:cstheme="minorHAnsi"/>
                <w:iCs/>
                <w:sz w:val="22"/>
                <w:szCs w:val="22"/>
              </w:rPr>
              <w:t>.</w:t>
            </w:r>
          </w:p>
          <w:p w14:paraId="22A64E92" w14:textId="30F5CC20" w:rsidR="00EA26CE" w:rsidRPr="00840127" w:rsidRDefault="0057560A" w:rsidP="003A5A54">
            <w:pPr>
              <w:pStyle w:val="BulletPoints"/>
              <w:numPr>
                <w:ilvl w:val="0"/>
                <w:numId w:val="0"/>
              </w:numPr>
              <w:spacing w:after="0"/>
              <w:ind w:firstLine="340"/>
              <w:rPr>
                <w:rFonts w:asciiTheme="minorHAnsi" w:hAnsiTheme="minorHAnsi" w:cstheme="minorHAnsi"/>
                <w:iCs/>
                <w:sz w:val="22"/>
                <w:szCs w:val="22"/>
              </w:rPr>
            </w:pPr>
            <w:r>
              <w:rPr>
                <w:rFonts w:asciiTheme="minorHAnsi" w:hAnsiTheme="minorHAnsi" w:cstheme="minorHAnsi"/>
                <w:iCs/>
                <w:sz w:val="22"/>
                <w:szCs w:val="22"/>
              </w:rPr>
              <w:t>T</w:t>
            </w:r>
            <w:r w:rsidR="00EA26CE" w:rsidRPr="00840127">
              <w:rPr>
                <w:rFonts w:asciiTheme="minorHAnsi" w:hAnsiTheme="minorHAnsi" w:cstheme="minorHAnsi"/>
                <w:iCs/>
                <w:sz w:val="22"/>
                <w:szCs w:val="22"/>
              </w:rPr>
              <w:t xml:space="preserve">he timing of consultations </w:t>
            </w:r>
            <w:r>
              <w:rPr>
                <w:rFonts w:asciiTheme="minorHAnsi" w:hAnsiTheme="minorHAnsi" w:cstheme="minorHAnsi"/>
                <w:iCs/>
                <w:sz w:val="22"/>
                <w:szCs w:val="22"/>
              </w:rPr>
              <w:t xml:space="preserve">also </w:t>
            </w:r>
            <w:r w:rsidR="00EA26CE" w:rsidRPr="00840127">
              <w:rPr>
                <w:rFonts w:asciiTheme="minorHAnsi" w:hAnsiTheme="minorHAnsi" w:cstheme="minorHAnsi"/>
                <w:iCs/>
                <w:sz w:val="22"/>
                <w:szCs w:val="22"/>
              </w:rPr>
              <w:t>raises concerns. Many community forums were held after key oil decisions—such as land acquisition and revenue-sharing policies—had already been finali</w:t>
            </w:r>
            <w:r w:rsidR="008D7D17">
              <w:rPr>
                <w:rFonts w:asciiTheme="minorHAnsi" w:hAnsiTheme="minorHAnsi" w:cstheme="minorHAnsi"/>
                <w:iCs/>
                <w:sz w:val="22"/>
                <w:szCs w:val="22"/>
              </w:rPr>
              <w:t>s</w:t>
            </w:r>
            <w:r w:rsidR="00EA26CE" w:rsidRPr="00840127">
              <w:rPr>
                <w:rFonts w:asciiTheme="minorHAnsi" w:hAnsiTheme="minorHAnsi" w:cstheme="minorHAnsi"/>
                <w:iCs/>
                <w:sz w:val="22"/>
                <w:szCs w:val="22"/>
              </w:rPr>
              <w:t>ed. By the time communities were invited to participate, negotiations had already taken place behind closed doors.</w:t>
            </w:r>
          </w:p>
          <w:p w14:paraId="4B24C63C" w14:textId="0FE3E985" w:rsidR="00836964" w:rsidRPr="00EA32D0" w:rsidRDefault="002B4BFA" w:rsidP="003A5A54">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In cases where p</w:t>
            </w:r>
            <w:r w:rsidR="00F27444" w:rsidRPr="00EA32D0">
              <w:rPr>
                <w:rFonts w:asciiTheme="minorHAnsi" w:hAnsiTheme="minorHAnsi" w:cstheme="minorHAnsi"/>
                <w:iCs/>
                <w:sz w:val="22"/>
                <w:szCs w:val="22"/>
              </w:rPr>
              <w:t xml:space="preserve">articipation </w:t>
            </w:r>
            <w:r w:rsidR="0051153F" w:rsidRPr="00EA32D0">
              <w:rPr>
                <w:rFonts w:asciiTheme="minorHAnsi" w:hAnsiTheme="minorHAnsi" w:cstheme="minorHAnsi"/>
                <w:iCs/>
                <w:sz w:val="22"/>
                <w:szCs w:val="22"/>
              </w:rPr>
              <w:t>d</w:t>
            </w:r>
            <w:r w:rsidR="00183F0F">
              <w:rPr>
                <w:rFonts w:asciiTheme="minorHAnsi" w:hAnsiTheme="minorHAnsi" w:cstheme="minorHAnsi"/>
                <w:iCs/>
                <w:sz w:val="22"/>
                <w:szCs w:val="22"/>
              </w:rPr>
              <w:t>id</w:t>
            </w:r>
            <w:r w:rsidR="0051153F" w:rsidRPr="00EA32D0">
              <w:rPr>
                <w:rFonts w:asciiTheme="minorHAnsi" w:hAnsiTheme="minorHAnsi" w:cstheme="minorHAnsi"/>
                <w:iCs/>
                <w:sz w:val="22"/>
                <w:szCs w:val="22"/>
              </w:rPr>
              <w:t xml:space="preserve"> occur</w:t>
            </w:r>
            <w:r w:rsidR="008D7D17">
              <w:rPr>
                <w:rFonts w:asciiTheme="minorHAnsi" w:hAnsiTheme="minorHAnsi" w:cstheme="minorHAnsi"/>
                <w:iCs/>
                <w:sz w:val="22"/>
                <w:szCs w:val="22"/>
              </w:rPr>
              <w:t>,</w:t>
            </w:r>
            <w:r w:rsidR="0051153F" w:rsidRPr="00EA32D0">
              <w:rPr>
                <w:rFonts w:asciiTheme="minorHAnsi" w:hAnsiTheme="minorHAnsi" w:cstheme="minorHAnsi"/>
                <w:iCs/>
                <w:sz w:val="22"/>
                <w:szCs w:val="22"/>
              </w:rPr>
              <w:t xml:space="preserve"> it </w:t>
            </w:r>
            <w:r w:rsidR="00183F0F">
              <w:rPr>
                <w:rFonts w:asciiTheme="minorHAnsi" w:hAnsiTheme="minorHAnsi" w:cstheme="minorHAnsi"/>
                <w:iCs/>
                <w:sz w:val="22"/>
                <w:szCs w:val="22"/>
              </w:rPr>
              <w:t>was</w:t>
            </w:r>
            <w:r w:rsidR="00F27444" w:rsidRPr="00EA32D0">
              <w:rPr>
                <w:rFonts w:asciiTheme="minorHAnsi" w:hAnsiTheme="minorHAnsi" w:cstheme="minorHAnsi"/>
                <w:iCs/>
                <w:sz w:val="22"/>
                <w:szCs w:val="22"/>
              </w:rPr>
              <w:t xml:space="preserve"> </w:t>
            </w:r>
            <w:r w:rsidR="0051153F" w:rsidRPr="00EA32D0">
              <w:rPr>
                <w:rFonts w:asciiTheme="minorHAnsi" w:hAnsiTheme="minorHAnsi" w:cstheme="minorHAnsi"/>
                <w:iCs/>
                <w:sz w:val="22"/>
                <w:szCs w:val="22"/>
              </w:rPr>
              <w:t>often</w:t>
            </w:r>
            <w:r w:rsidR="00F27444" w:rsidRPr="00EA32D0">
              <w:rPr>
                <w:rFonts w:asciiTheme="minorHAnsi" w:hAnsiTheme="minorHAnsi" w:cstheme="minorHAnsi"/>
                <w:iCs/>
                <w:sz w:val="22"/>
                <w:szCs w:val="22"/>
              </w:rPr>
              <w:t xml:space="preserve"> mediated through political or elite representatives rather than accountable community institutions</w:t>
            </w:r>
            <w:r w:rsidR="0037178F" w:rsidRPr="00EA32D0">
              <w:rPr>
                <w:rFonts w:asciiTheme="minorHAnsi" w:hAnsiTheme="minorHAnsi" w:cstheme="minorHAnsi"/>
                <w:iCs/>
                <w:sz w:val="22"/>
                <w:szCs w:val="22"/>
              </w:rPr>
              <w:t xml:space="preserve"> or</w:t>
            </w:r>
            <w:r w:rsidR="00F879FF" w:rsidRPr="00EA32D0">
              <w:rPr>
                <w:rFonts w:asciiTheme="minorHAnsi" w:hAnsiTheme="minorHAnsi" w:cstheme="minorHAnsi"/>
                <w:iCs/>
                <w:sz w:val="22"/>
                <w:szCs w:val="22"/>
              </w:rPr>
              <w:t xml:space="preserve"> </w:t>
            </w:r>
            <w:r w:rsidR="008D7D17">
              <w:rPr>
                <w:rFonts w:asciiTheme="minorHAnsi" w:hAnsiTheme="minorHAnsi" w:cstheme="minorHAnsi"/>
                <w:iCs/>
                <w:sz w:val="22"/>
                <w:szCs w:val="22"/>
              </w:rPr>
              <w:t xml:space="preserve">was </w:t>
            </w:r>
            <w:r w:rsidR="00F27444" w:rsidRPr="00EA32D0">
              <w:rPr>
                <w:rFonts w:asciiTheme="minorHAnsi" w:hAnsiTheme="minorHAnsi" w:cstheme="minorHAnsi"/>
                <w:iCs/>
                <w:sz w:val="22"/>
                <w:szCs w:val="22"/>
              </w:rPr>
              <w:t xml:space="preserve">held outside Turkana. As a result, communities </w:t>
            </w:r>
            <w:r w:rsidR="00183F0F">
              <w:rPr>
                <w:rFonts w:asciiTheme="minorHAnsi" w:hAnsiTheme="minorHAnsi" w:cstheme="minorHAnsi"/>
                <w:iCs/>
                <w:sz w:val="22"/>
                <w:szCs w:val="22"/>
              </w:rPr>
              <w:t>were</w:t>
            </w:r>
            <w:r w:rsidR="00F27444" w:rsidRPr="00EA32D0">
              <w:rPr>
                <w:rFonts w:asciiTheme="minorHAnsi" w:hAnsiTheme="minorHAnsi" w:cstheme="minorHAnsi"/>
                <w:iCs/>
                <w:sz w:val="22"/>
                <w:szCs w:val="22"/>
              </w:rPr>
              <w:t xml:space="preserve"> </w:t>
            </w:r>
            <w:r w:rsidR="00F27444" w:rsidRPr="00EA32D0">
              <w:rPr>
                <w:rFonts w:asciiTheme="minorHAnsi" w:hAnsiTheme="minorHAnsi" w:cstheme="minorHAnsi"/>
                <w:iCs/>
                <w:sz w:val="22"/>
                <w:szCs w:val="22"/>
              </w:rPr>
              <w:lastRenderedPageBreak/>
              <w:t>informed of decisions</w:t>
            </w:r>
            <w:r w:rsidR="0057560A">
              <w:rPr>
                <w:rFonts w:asciiTheme="minorHAnsi" w:hAnsiTheme="minorHAnsi" w:cstheme="minorHAnsi"/>
                <w:iCs/>
                <w:sz w:val="22"/>
                <w:szCs w:val="22"/>
              </w:rPr>
              <w:t xml:space="preserve">, </w:t>
            </w:r>
            <w:r w:rsidR="00183F0F">
              <w:rPr>
                <w:rFonts w:asciiTheme="minorHAnsi" w:hAnsiTheme="minorHAnsi" w:cstheme="minorHAnsi"/>
                <w:iCs/>
                <w:sz w:val="22"/>
                <w:szCs w:val="22"/>
              </w:rPr>
              <w:t>instead of</w:t>
            </w:r>
            <w:r w:rsidR="0057560A">
              <w:rPr>
                <w:rFonts w:asciiTheme="minorHAnsi" w:hAnsiTheme="minorHAnsi" w:cstheme="minorHAnsi"/>
                <w:iCs/>
                <w:sz w:val="22"/>
                <w:szCs w:val="22"/>
              </w:rPr>
              <w:t xml:space="preserve"> being</w:t>
            </w:r>
            <w:r w:rsidR="007F3BFC" w:rsidRPr="00EA32D0">
              <w:rPr>
                <w:rFonts w:asciiTheme="minorHAnsi" w:hAnsiTheme="minorHAnsi" w:cstheme="minorHAnsi"/>
                <w:iCs/>
                <w:sz w:val="22"/>
                <w:szCs w:val="22"/>
              </w:rPr>
              <w:t xml:space="preserve"> </w:t>
            </w:r>
            <w:r w:rsidR="00F27444" w:rsidRPr="00EA32D0">
              <w:rPr>
                <w:rFonts w:asciiTheme="minorHAnsi" w:hAnsiTheme="minorHAnsi" w:cstheme="minorHAnsi"/>
                <w:iCs/>
                <w:sz w:val="22"/>
                <w:szCs w:val="22"/>
              </w:rPr>
              <w:t>involved in shaping them.</w:t>
            </w:r>
            <w:r w:rsidR="00836964" w:rsidRPr="00EA32D0">
              <w:rPr>
                <w:rFonts w:asciiTheme="minorHAnsi" w:hAnsiTheme="minorHAnsi" w:cstheme="minorHAnsi"/>
                <w:iCs/>
                <w:sz w:val="22"/>
                <w:szCs w:val="22"/>
              </w:rPr>
              <w:t xml:space="preserve"> As one community representative explained:</w:t>
            </w:r>
          </w:p>
          <w:p w14:paraId="08B7C9FD" w14:textId="0F0C9101" w:rsidR="0057560A" w:rsidRDefault="00836964" w:rsidP="003C30B0">
            <w:pPr>
              <w:pStyle w:val="BulletPoints"/>
              <w:numPr>
                <w:ilvl w:val="0"/>
                <w:numId w:val="0"/>
              </w:numPr>
              <w:spacing w:before="120" w:after="60"/>
              <w:ind w:left="245"/>
              <w:rPr>
                <w:rFonts w:asciiTheme="minorHAnsi" w:hAnsiTheme="minorHAnsi" w:cstheme="minorHAnsi"/>
                <w:i/>
                <w:sz w:val="22"/>
                <w:szCs w:val="22"/>
              </w:rPr>
            </w:pPr>
            <w:r w:rsidRPr="00695E42">
              <w:rPr>
                <w:rFonts w:asciiTheme="minorHAnsi" w:hAnsiTheme="minorHAnsi" w:cstheme="minorHAnsi"/>
                <w:i/>
                <w:sz w:val="22"/>
                <w:szCs w:val="22"/>
              </w:rPr>
              <w:t>We were informed that there would be meetings where we could give our opinions. However, when we arrived, we found that everything had already been decided. The people who spoke for us were politicians, chiefs, and elders who had already made deals with the oil company. When we tried to ask questions, we were told to wait for another meeting</w:t>
            </w:r>
            <w:r w:rsidR="008D7D17">
              <w:rPr>
                <w:rFonts w:asciiTheme="minorHAnsi" w:hAnsiTheme="minorHAnsi" w:cstheme="minorHAnsi"/>
                <w:i/>
                <w:sz w:val="22"/>
                <w:szCs w:val="22"/>
              </w:rPr>
              <w:t>,</w:t>
            </w:r>
            <w:r w:rsidRPr="00695E42">
              <w:rPr>
                <w:rFonts w:asciiTheme="minorHAnsi" w:hAnsiTheme="minorHAnsi" w:cstheme="minorHAnsi"/>
                <w:i/>
                <w:sz w:val="22"/>
                <w:szCs w:val="22"/>
              </w:rPr>
              <w:t xml:space="preserve"> which never came</w:t>
            </w:r>
            <w:r w:rsidR="0057560A">
              <w:rPr>
                <w:rFonts w:asciiTheme="minorHAnsi" w:hAnsiTheme="minorHAnsi" w:cstheme="minorHAnsi"/>
                <w:i/>
                <w:sz w:val="22"/>
                <w:szCs w:val="22"/>
              </w:rPr>
              <w:t>.</w:t>
            </w:r>
            <w:r w:rsidRPr="00695E42">
              <w:rPr>
                <w:rFonts w:asciiTheme="minorHAnsi" w:hAnsiTheme="minorHAnsi" w:cstheme="minorHAnsi"/>
                <w:i/>
                <w:sz w:val="22"/>
                <w:szCs w:val="22"/>
              </w:rPr>
              <w:t xml:space="preserve"> </w:t>
            </w:r>
          </w:p>
          <w:p w14:paraId="26D3919E" w14:textId="5C60697A" w:rsidR="002F618D" w:rsidRPr="0057560A" w:rsidRDefault="00836964" w:rsidP="00695E42">
            <w:pPr>
              <w:pStyle w:val="BulletPoints"/>
              <w:numPr>
                <w:ilvl w:val="0"/>
                <w:numId w:val="0"/>
              </w:numPr>
              <w:ind w:left="346"/>
              <w:jc w:val="right"/>
              <w:rPr>
                <w:rFonts w:asciiTheme="minorHAnsi" w:hAnsiTheme="minorHAnsi" w:cstheme="minorHAnsi"/>
                <w:iCs/>
                <w:sz w:val="22"/>
                <w:szCs w:val="22"/>
                <w:highlight w:val="yellow"/>
              </w:rPr>
            </w:pPr>
            <w:r w:rsidRPr="0057560A">
              <w:rPr>
                <w:rFonts w:asciiTheme="minorHAnsi" w:hAnsiTheme="minorHAnsi" w:cstheme="minorHAnsi"/>
                <w:iCs/>
                <w:sz w:val="22"/>
                <w:szCs w:val="22"/>
              </w:rPr>
              <w:t xml:space="preserve">Interview </w:t>
            </w:r>
            <w:r w:rsidR="008016D2" w:rsidRPr="0057560A">
              <w:rPr>
                <w:rFonts w:asciiTheme="minorHAnsi" w:hAnsiTheme="minorHAnsi" w:cstheme="minorHAnsi"/>
                <w:iCs/>
                <w:sz w:val="22"/>
                <w:szCs w:val="22"/>
              </w:rPr>
              <w:t>with</w:t>
            </w:r>
            <w:r w:rsidRPr="0057560A">
              <w:rPr>
                <w:rFonts w:asciiTheme="minorHAnsi" w:hAnsiTheme="minorHAnsi" w:cstheme="minorHAnsi"/>
                <w:iCs/>
                <w:sz w:val="22"/>
                <w:szCs w:val="22"/>
              </w:rPr>
              <w:t xml:space="preserve"> </w:t>
            </w:r>
            <w:r w:rsidR="008016D2" w:rsidRPr="0057560A">
              <w:rPr>
                <w:rFonts w:asciiTheme="minorHAnsi" w:hAnsiTheme="minorHAnsi" w:cstheme="minorHAnsi"/>
                <w:iCs/>
                <w:sz w:val="22"/>
                <w:szCs w:val="22"/>
              </w:rPr>
              <w:t>C</w:t>
            </w:r>
            <w:r w:rsidRPr="0057560A">
              <w:rPr>
                <w:rFonts w:asciiTheme="minorHAnsi" w:hAnsiTheme="minorHAnsi" w:cstheme="minorHAnsi"/>
                <w:iCs/>
                <w:sz w:val="22"/>
                <w:szCs w:val="22"/>
              </w:rPr>
              <w:t>ommunity Representative, Turkana</w:t>
            </w:r>
            <w:r w:rsidR="0057560A">
              <w:rPr>
                <w:rFonts w:asciiTheme="minorHAnsi" w:hAnsiTheme="minorHAnsi" w:cstheme="minorHAnsi"/>
                <w:iCs/>
                <w:sz w:val="22"/>
                <w:szCs w:val="22"/>
              </w:rPr>
              <w:t xml:space="preserve"> County (</w:t>
            </w:r>
            <w:r w:rsidR="00525026" w:rsidRPr="0057560A">
              <w:rPr>
                <w:rFonts w:asciiTheme="minorHAnsi" w:hAnsiTheme="minorHAnsi" w:cstheme="minorHAnsi"/>
                <w:iCs/>
                <w:sz w:val="22"/>
                <w:szCs w:val="22"/>
              </w:rPr>
              <w:t>August</w:t>
            </w:r>
            <w:r w:rsidRPr="0057560A">
              <w:rPr>
                <w:rFonts w:asciiTheme="minorHAnsi" w:hAnsiTheme="minorHAnsi" w:cstheme="minorHAnsi"/>
                <w:iCs/>
                <w:sz w:val="22"/>
                <w:szCs w:val="22"/>
              </w:rPr>
              <w:t xml:space="preserve"> 2024</w:t>
            </w:r>
            <w:r w:rsidR="0057560A">
              <w:rPr>
                <w:rFonts w:asciiTheme="minorHAnsi" w:hAnsiTheme="minorHAnsi" w:cstheme="minorHAnsi"/>
                <w:iCs/>
                <w:sz w:val="22"/>
                <w:szCs w:val="22"/>
              </w:rPr>
              <w:t>)</w:t>
            </w:r>
          </w:p>
          <w:p w14:paraId="239803E1" w14:textId="1E67BB97" w:rsidR="007A1AAE" w:rsidRDefault="00A35349" w:rsidP="00C765D0">
            <w:pPr>
              <w:pStyle w:val="BulletPoints"/>
              <w:numPr>
                <w:ilvl w:val="0"/>
                <w:numId w:val="0"/>
              </w:numPr>
              <w:rPr>
                <w:rFonts w:asciiTheme="minorHAnsi" w:hAnsiTheme="minorHAnsi" w:cstheme="minorHAnsi"/>
                <w:iCs/>
                <w:sz w:val="22"/>
                <w:szCs w:val="22"/>
              </w:rPr>
            </w:pPr>
            <w:r>
              <w:rPr>
                <w:rFonts w:asciiTheme="minorHAnsi" w:hAnsiTheme="minorHAnsi" w:cstheme="minorHAnsi"/>
                <w:iCs/>
                <w:sz w:val="22"/>
                <w:szCs w:val="22"/>
              </w:rPr>
              <w:t xml:space="preserve">Another community representative </w:t>
            </w:r>
            <w:r w:rsidR="00EF1972">
              <w:rPr>
                <w:rFonts w:asciiTheme="minorHAnsi" w:hAnsiTheme="minorHAnsi" w:cstheme="minorHAnsi"/>
                <w:iCs/>
                <w:sz w:val="22"/>
                <w:szCs w:val="22"/>
              </w:rPr>
              <w:t>point</w:t>
            </w:r>
            <w:r w:rsidR="00183F0F">
              <w:rPr>
                <w:rFonts w:asciiTheme="minorHAnsi" w:hAnsiTheme="minorHAnsi" w:cstheme="minorHAnsi"/>
                <w:iCs/>
                <w:sz w:val="22"/>
                <w:szCs w:val="22"/>
              </w:rPr>
              <w:t>ed</w:t>
            </w:r>
            <w:r w:rsidR="00EF1972">
              <w:rPr>
                <w:rFonts w:asciiTheme="minorHAnsi" w:hAnsiTheme="minorHAnsi" w:cstheme="minorHAnsi"/>
                <w:iCs/>
                <w:sz w:val="22"/>
                <w:szCs w:val="22"/>
              </w:rPr>
              <w:t xml:space="preserve"> out </w:t>
            </w:r>
            <w:r>
              <w:rPr>
                <w:rFonts w:asciiTheme="minorHAnsi" w:hAnsiTheme="minorHAnsi" w:cstheme="minorHAnsi"/>
                <w:iCs/>
                <w:sz w:val="22"/>
                <w:szCs w:val="22"/>
              </w:rPr>
              <w:t>that</w:t>
            </w:r>
            <w:r w:rsidR="007A1AAE">
              <w:rPr>
                <w:rFonts w:asciiTheme="minorHAnsi" w:hAnsiTheme="minorHAnsi" w:cstheme="minorHAnsi"/>
                <w:iCs/>
                <w:sz w:val="22"/>
                <w:szCs w:val="22"/>
              </w:rPr>
              <w:t>:</w:t>
            </w:r>
          </w:p>
          <w:p w14:paraId="77D8FD61" w14:textId="77777777" w:rsidR="00541BBD" w:rsidRPr="00541BBD" w:rsidRDefault="00FA6706" w:rsidP="003C30B0">
            <w:pPr>
              <w:pStyle w:val="BulletPoints"/>
              <w:numPr>
                <w:ilvl w:val="0"/>
                <w:numId w:val="0"/>
              </w:numPr>
              <w:spacing w:before="120" w:after="60"/>
              <w:ind w:left="245"/>
              <w:rPr>
                <w:rFonts w:asciiTheme="minorHAnsi" w:hAnsiTheme="minorHAnsi" w:cstheme="minorHAnsi"/>
                <w:i/>
                <w:sz w:val="22"/>
                <w:szCs w:val="22"/>
              </w:rPr>
            </w:pPr>
            <w:r w:rsidRPr="00541BBD">
              <w:rPr>
                <w:rFonts w:asciiTheme="minorHAnsi" w:hAnsiTheme="minorHAnsi" w:cstheme="minorHAnsi"/>
                <w:i/>
                <w:sz w:val="22"/>
                <w:szCs w:val="22"/>
              </w:rPr>
              <w:t>The community liaison officers</w:t>
            </w:r>
            <w:r w:rsidR="00CB4C80" w:rsidRPr="00541BBD">
              <w:rPr>
                <w:rFonts w:asciiTheme="minorHAnsi" w:hAnsiTheme="minorHAnsi" w:cstheme="minorHAnsi"/>
                <w:i/>
                <w:sz w:val="22"/>
                <w:szCs w:val="22"/>
              </w:rPr>
              <w:t xml:space="preserve"> were supposed to be our voice, but how can they speak for us when they are being paid by the same companies we are complaining about?</w:t>
            </w:r>
          </w:p>
          <w:p w14:paraId="1B174C29" w14:textId="65AAB86F" w:rsidR="00541BBD" w:rsidRDefault="00541BBD" w:rsidP="00B55AD4">
            <w:pPr>
              <w:pStyle w:val="BulletPoints"/>
              <w:numPr>
                <w:ilvl w:val="0"/>
                <w:numId w:val="0"/>
              </w:numPr>
              <w:spacing w:after="0"/>
              <w:jc w:val="right"/>
              <w:rPr>
                <w:rFonts w:asciiTheme="minorHAnsi" w:hAnsiTheme="minorHAnsi" w:cstheme="minorHAnsi"/>
                <w:iCs/>
                <w:sz w:val="22"/>
                <w:szCs w:val="22"/>
              </w:rPr>
            </w:pPr>
            <w:r w:rsidRPr="00541BBD">
              <w:rPr>
                <w:rFonts w:asciiTheme="minorHAnsi" w:hAnsiTheme="minorHAnsi" w:cstheme="minorHAnsi"/>
                <w:iCs/>
                <w:sz w:val="22"/>
                <w:szCs w:val="22"/>
              </w:rPr>
              <w:t>Interview with Community Representative, Turkana County (August 2024)</w:t>
            </w:r>
          </w:p>
          <w:p w14:paraId="3DC4900C" w14:textId="77777777" w:rsidR="003C30B0" w:rsidRPr="003E759B" w:rsidRDefault="003C30B0" w:rsidP="00B55AD4">
            <w:pPr>
              <w:pStyle w:val="BulletPoints"/>
              <w:numPr>
                <w:ilvl w:val="0"/>
                <w:numId w:val="0"/>
              </w:numPr>
              <w:spacing w:after="0"/>
              <w:jc w:val="right"/>
              <w:rPr>
                <w:rFonts w:asciiTheme="minorHAnsi" w:hAnsiTheme="minorHAnsi" w:cstheme="minorHAnsi"/>
                <w:iCs/>
                <w:sz w:val="22"/>
                <w:szCs w:val="22"/>
              </w:rPr>
            </w:pPr>
          </w:p>
          <w:p w14:paraId="1FC1CC6A" w14:textId="0C971542" w:rsidR="00F27444" w:rsidRDefault="00541BBD" w:rsidP="00C765D0">
            <w:pPr>
              <w:pStyle w:val="BulletPoints"/>
              <w:numPr>
                <w:ilvl w:val="0"/>
                <w:numId w:val="0"/>
              </w:numPr>
              <w:spacing w:after="0"/>
              <w:rPr>
                <w:rFonts w:asciiTheme="minorHAnsi" w:hAnsiTheme="minorHAnsi" w:cstheme="minorHAnsi"/>
                <w:iCs/>
                <w:sz w:val="22"/>
                <w:szCs w:val="22"/>
              </w:rPr>
            </w:pPr>
            <w:r>
              <w:rPr>
                <w:rFonts w:asciiTheme="minorHAnsi" w:hAnsiTheme="minorHAnsi" w:cstheme="minorHAnsi"/>
                <w:iCs/>
                <w:sz w:val="22"/>
                <w:szCs w:val="22"/>
              </w:rPr>
              <w:t>S</w:t>
            </w:r>
            <w:r w:rsidR="0057560A">
              <w:rPr>
                <w:rFonts w:asciiTheme="minorHAnsi" w:hAnsiTheme="minorHAnsi" w:cstheme="minorHAnsi"/>
                <w:iCs/>
                <w:sz w:val="22"/>
                <w:szCs w:val="22"/>
              </w:rPr>
              <w:t>uch</w:t>
            </w:r>
            <w:r w:rsidR="0057560A" w:rsidRPr="00EA32D0">
              <w:rPr>
                <w:rFonts w:asciiTheme="minorHAnsi" w:hAnsiTheme="minorHAnsi" w:cstheme="minorHAnsi"/>
                <w:iCs/>
                <w:sz w:val="22"/>
                <w:szCs w:val="22"/>
              </w:rPr>
              <w:t xml:space="preserve"> </w:t>
            </w:r>
            <w:r w:rsidR="00F27444" w:rsidRPr="00EA32D0">
              <w:rPr>
                <w:rFonts w:asciiTheme="minorHAnsi" w:hAnsiTheme="minorHAnsi" w:cstheme="minorHAnsi"/>
                <w:iCs/>
                <w:sz w:val="22"/>
                <w:szCs w:val="22"/>
              </w:rPr>
              <w:t>approach</w:t>
            </w:r>
            <w:r w:rsidR="0057560A">
              <w:rPr>
                <w:rFonts w:asciiTheme="minorHAnsi" w:hAnsiTheme="minorHAnsi" w:cstheme="minorHAnsi"/>
                <w:iCs/>
                <w:sz w:val="22"/>
                <w:szCs w:val="22"/>
              </w:rPr>
              <w:t>es</w:t>
            </w:r>
            <w:r w:rsidR="00F27444" w:rsidRPr="00EA32D0">
              <w:rPr>
                <w:rFonts w:asciiTheme="minorHAnsi" w:hAnsiTheme="minorHAnsi" w:cstheme="minorHAnsi"/>
                <w:iCs/>
                <w:sz w:val="22"/>
                <w:szCs w:val="22"/>
              </w:rPr>
              <w:t xml:space="preserve"> </w:t>
            </w:r>
            <w:r w:rsidR="006F601D" w:rsidRPr="00EA32D0">
              <w:rPr>
                <w:rFonts w:asciiTheme="minorHAnsi" w:hAnsiTheme="minorHAnsi" w:cstheme="minorHAnsi"/>
                <w:iCs/>
                <w:sz w:val="22"/>
                <w:szCs w:val="22"/>
              </w:rPr>
              <w:t>increase</w:t>
            </w:r>
            <w:r w:rsidR="0057560A">
              <w:rPr>
                <w:rFonts w:asciiTheme="minorHAnsi" w:hAnsiTheme="minorHAnsi" w:cstheme="minorHAnsi"/>
                <w:iCs/>
                <w:sz w:val="22"/>
                <w:szCs w:val="22"/>
              </w:rPr>
              <w:t>d</w:t>
            </w:r>
            <w:r w:rsidR="00F27444" w:rsidRPr="00EA32D0">
              <w:rPr>
                <w:rFonts w:asciiTheme="minorHAnsi" w:hAnsiTheme="minorHAnsi" w:cstheme="minorHAnsi"/>
                <w:iCs/>
                <w:sz w:val="22"/>
                <w:szCs w:val="22"/>
              </w:rPr>
              <w:t xml:space="preserve"> mistrust and grievance instead of building legitimacy or shared ownership of development outcomes.</w:t>
            </w:r>
          </w:p>
          <w:p w14:paraId="728F8742" w14:textId="77777777" w:rsidR="00F875DD" w:rsidRPr="00EA32D0" w:rsidRDefault="00F875DD" w:rsidP="00B55AD4">
            <w:pPr>
              <w:pStyle w:val="BulletPoints"/>
              <w:numPr>
                <w:ilvl w:val="0"/>
                <w:numId w:val="0"/>
              </w:numPr>
              <w:spacing w:after="0"/>
              <w:ind w:firstLine="340"/>
              <w:rPr>
                <w:rFonts w:asciiTheme="minorHAnsi" w:hAnsiTheme="minorHAnsi" w:cstheme="minorHAnsi"/>
                <w:iCs/>
                <w:sz w:val="22"/>
                <w:szCs w:val="22"/>
              </w:rPr>
            </w:pPr>
          </w:p>
          <w:p w14:paraId="68723C24" w14:textId="6E322658" w:rsidR="004D4D28" w:rsidRPr="00C765D0" w:rsidRDefault="004D4D28" w:rsidP="00B07CE8">
            <w:pPr>
              <w:pStyle w:val="BulletPoints"/>
              <w:numPr>
                <w:ilvl w:val="0"/>
                <w:numId w:val="8"/>
              </w:numPr>
              <w:spacing w:after="0"/>
              <w:rPr>
                <w:rFonts w:asciiTheme="minorHAnsi" w:hAnsiTheme="minorHAnsi" w:cstheme="minorHAnsi"/>
                <w:b/>
                <w:bCs/>
                <w:iCs/>
                <w:sz w:val="22"/>
                <w:szCs w:val="22"/>
              </w:rPr>
            </w:pPr>
            <w:r w:rsidRPr="00CC7A2D">
              <w:rPr>
                <w:rFonts w:asciiTheme="minorHAnsi" w:hAnsiTheme="minorHAnsi" w:cstheme="minorHAnsi"/>
                <w:b/>
                <w:bCs/>
                <w:iCs/>
                <w:sz w:val="22"/>
                <w:szCs w:val="22"/>
              </w:rPr>
              <w:t>Reve</w:t>
            </w:r>
            <w:r w:rsidR="00640E05" w:rsidRPr="00CC7A2D">
              <w:rPr>
                <w:rFonts w:asciiTheme="minorHAnsi" w:hAnsiTheme="minorHAnsi" w:cstheme="minorHAnsi"/>
                <w:b/>
                <w:bCs/>
                <w:iCs/>
                <w:sz w:val="22"/>
                <w:szCs w:val="22"/>
              </w:rPr>
              <w:t xml:space="preserve">nue and benefits </w:t>
            </w:r>
            <w:r w:rsidR="00343144" w:rsidRPr="00CC7A2D">
              <w:rPr>
                <w:rFonts w:asciiTheme="minorHAnsi" w:hAnsiTheme="minorHAnsi" w:cstheme="minorHAnsi"/>
                <w:b/>
                <w:bCs/>
                <w:iCs/>
                <w:sz w:val="22"/>
                <w:szCs w:val="22"/>
              </w:rPr>
              <w:t>were</w:t>
            </w:r>
            <w:r w:rsidR="00640E05" w:rsidRPr="00CC7A2D">
              <w:rPr>
                <w:rFonts w:asciiTheme="minorHAnsi" w:hAnsiTheme="minorHAnsi" w:cstheme="minorHAnsi"/>
                <w:b/>
                <w:bCs/>
                <w:iCs/>
                <w:sz w:val="22"/>
                <w:szCs w:val="22"/>
              </w:rPr>
              <w:t xml:space="preserve"> managed without local transparency </w:t>
            </w:r>
          </w:p>
          <w:p w14:paraId="57A8EEBD" w14:textId="3595B136" w:rsidR="00AA0F9D" w:rsidRPr="00EA32D0" w:rsidRDefault="00E47415" w:rsidP="00C765D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Communities express</w:t>
            </w:r>
            <w:r w:rsidR="00343144">
              <w:rPr>
                <w:rFonts w:asciiTheme="minorHAnsi" w:hAnsiTheme="minorHAnsi" w:cstheme="minorHAnsi"/>
                <w:iCs/>
                <w:sz w:val="22"/>
                <w:szCs w:val="22"/>
              </w:rPr>
              <w:t>ed</w:t>
            </w:r>
            <w:r w:rsidRPr="00EA32D0">
              <w:rPr>
                <w:rFonts w:asciiTheme="minorHAnsi" w:hAnsiTheme="minorHAnsi" w:cstheme="minorHAnsi"/>
                <w:iCs/>
                <w:sz w:val="22"/>
                <w:szCs w:val="22"/>
              </w:rPr>
              <w:t xml:space="preserve"> strong concern about how oil revenues and benefits </w:t>
            </w:r>
            <w:r w:rsidR="00343144">
              <w:rPr>
                <w:rFonts w:asciiTheme="minorHAnsi" w:hAnsiTheme="minorHAnsi" w:cstheme="minorHAnsi"/>
                <w:iCs/>
                <w:sz w:val="22"/>
                <w:szCs w:val="22"/>
              </w:rPr>
              <w:t>were being</w:t>
            </w:r>
            <w:r w:rsidRPr="00EA32D0">
              <w:rPr>
                <w:rFonts w:asciiTheme="minorHAnsi" w:hAnsiTheme="minorHAnsi" w:cstheme="minorHAnsi"/>
                <w:iCs/>
                <w:sz w:val="22"/>
                <w:szCs w:val="22"/>
              </w:rPr>
              <w:t xml:space="preserve"> managed. Employment opportunities </w:t>
            </w:r>
            <w:r w:rsidR="00AE2DBE">
              <w:rPr>
                <w:rFonts w:asciiTheme="minorHAnsi" w:hAnsiTheme="minorHAnsi" w:cstheme="minorHAnsi"/>
                <w:iCs/>
                <w:sz w:val="22"/>
                <w:szCs w:val="22"/>
              </w:rPr>
              <w:t xml:space="preserve">were </w:t>
            </w:r>
            <w:r w:rsidRPr="00EA32D0">
              <w:rPr>
                <w:rFonts w:asciiTheme="minorHAnsi" w:hAnsiTheme="minorHAnsi" w:cstheme="minorHAnsi"/>
                <w:iCs/>
                <w:sz w:val="22"/>
                <w:szCs w:val="22"/>
              </w:rPr>
              <w:t xml:space="preserve">often short-term and low-paid, while contracts and compensation </w:t>
            </w:r>
            <w:r w:rsidR="00AE2DBE">
              <w:rPr>
                <w:rFonts w:asciiTheme="minorHAnsi" w:hAnsiTheme="minorHAnsi" w:cstheme="minorHAnsi"/>
                <w:iCs/>
                <w:sz w:val="22"/>
                <w:szCs w:val="22"/>
              </w:rPr>
              <w:t xml:space="preserve">were </w:t>
            </w:r>
            <w:r w:rsidRPr="00EA32D0">
              <w:rPr>
                <w:rFonts w:asciiTheme="minorHAnsi" w:hAnsiTheme="minorHAnsi" w:cstheme="minorHAnsi"/>
                <w:iCs/>
                <w:sz w:val="22"/>
                <w:szCs w:val="22"/>
              </w:rPr>
              <w:t>perceived to favour outsiders or politically connected actors.</w:t>
            </w:r>
          </w:p>
          <w:p w14:paraId="052E3C96" w14:textId="4E5CE334" w:rsidR="00E47415" w:rsidRDefault="00E47415" w:rsidP="00317FC2">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Oil revenues remain</w:t>
            </w:r>
            <w:r w:rsidR="00AE2DBE">
              <w:rPr>
                <w:rFonts w:asciiTheme="minorHAnsi" w:hAnsiTheme="minorHAnsi" w:cstheme="minorHAnsi"/>
                <w:iCs/>
                <w:sz w:val="22"/>
                <w:szCs w:val="22"/>
              </w:rPr>
              <w:t>ed</w:t>
            </w:r>
            <w:r w:rsidRPr="00EA32D0">
              <w:rPr>
                <w:rFonts w:asciiTheme="minorHAnsi" w:hAnsiTheme="minorHAnsi" w:cstheme="minorHAnsi"/>
                <w:iCs/>
                <w:sz w:val="22"/>
                <w:szCs w:val="22"/>
              </w:rPr>
              <w:t xml:space="preserve"> centrally controlled, with limited transparency at the local level and few mechanisms for communities to track </w:t>
            </w:r>
            <w:r w:rsidR="0020050B">
              <w:rPr>
                <w:rFonts w:asciiTheme="minorHAnsi" w:hAnsiTheme="minorHAnsi" w:cstheme="minorHAnsi"/>
                <w:iCs/>
                <w:sz w:val="22"/>
                <w:szCs w:val="22"/>
              </w:rPr>
              <w:t xml:space="preserve">allocations </w:t>
            </w:r>
            <w:r w:rsidRPr="00EA32D0">
              <w:rPr>
                <w:rFonts w:asciiTheme="minorHAnsi" w:hAnsiTheme="minorHAnsi" w:cstheme="minorHAnsi"/>
                <w:iCs/>
                <w:sz w:val="22"/>
                <w:szCs w:val="22"/>
              </w:rPr>
              <w:t xml:space="preserve">or influence </w:t>
            </w:r>
            <w:r w:rsidR="004A0964">
              <w:rPr>
                <w:rFonts w:asciiTheme="minorHAnsi" w:hAnsiTheme="minorHAnsi" w:cstheme="minorHAnsi"/>
                <w:iCs/>
                <w:sz w:val="22"/>
                <w:szCs w:val="22"/>
              </w:rPr>
              <w:t>local development priorities</w:t>
            </w:r>
            <w:r w:rsidR="00753EC2">
              <w:rPr>
                <w:rFonts w:asciiTheme="minorHAnsi" w:hAnsiTheme="minorHAnsi" w:cstheme="minorHAnsi"/>
                <w:iCs/>
                <w:sz w:val="22"/>
                <w:szCs w:val="22"/>
              </w:rPr>
              <w:t xml:space="preserve">. </w:t>
            </w:r>
            <w:r w:rsidRPr="00EA32D0">
              <w:rPr>
                <w:rFonts w:asciiTheme="minorHAnsi" w:hAnsiTheme="minorHAnsi" w:cstheme="minorHAnsi"/>
                <w:iCs/>
                <w:sz w:val="22"/>
                <w:szCs w:val="22"/>
              </w:rPr>
              <w:t>This lack of transparency reinforce</w:t>
            </w:r>
            <w:r w:rsidR="00AE2DBE">
              <w:rPr>
                <w:rFonts w:asciiTheme="minorHAnsi" w:hAnsiTheme="minorHAnsi" w:cstheme="minorHAnsi"/>
                <w:iCs/>
                <w:sz w:val="22"/>
                <w:szCs w:val="22"/>
              </w:rPr>
              <w:t>d</w:t>
            </w:r>
            <w:r w:rsidR="00184359">
              <w:rPr>
                <w:rFonts w:asciiTheme="minorHAnsi" w:hAnsiTheme="minorHAnsi" w:cstheme="minorHAnsi"/>
                <w:iCs/>
                <w:sz w:val="22"/>
                <w:szCs w:val="22"/>
              </w:rPr>
              <w:t xml:space="preserve"> community</w:t>
            </w:r>
            <w:r w:rsidR="00744AAF">
              <w:rPr>
                <w:rFonts w:asciiTheme="minorHAnsi" w:hAnsiTheme="minorHAnsi" w:cstheme="minorHAnsi"/>
                <w:iCs/>
                <w:sz w:val="22"/>
                <w:szCs w:val="22"/>
              </w:rPr>
              <w:t xml:space="preserve"> </w:t>
            </w:r>
            <w:r w:rsidRPr="00EA32D0">
              <w:rPr>
                <w:rFonts w:asciiTheme="minorHAnsi" w:hAnsiTheme="minorHAnsi" w:cstheme="minorHAnsi"/>
                <w:iCs/>
                <w:sz w:val="22"/>
                <w:szCs w:val="22"/>
              </w:rPr>
              <w:t>perception that oil development benefits others more than</w:t>
            </w:r>
            <w:r w:rsidR="0079531F" w:rsidRPr="00EA32D0">
              <w:rPr>
                <w:rFonts w:asciiTheme="minorHAnsi" w:hAnsiTheme="minorHAnsi" w:cstheme="minorHAnsi"/>
                <w:iCs/>
                <w:sz w:val="22"/>
                <w:szCs w:val="22"/>
              </w:rPr>
              <w:t xml:space="preserve"> the</w:t>
            </w:r>
            <w:r w:rsidRPr="00EA32D0">
              <w:rPr>
                <w:rFonts w:asciiTheme="minorHAnsi" w:hAnsiTheme="minorHAnsi" w:cstheme="minorHAnsi"/>
                <w:iCs/>
                <w:sz w:val="22"/>
                <w:szCs w:val="22"/>
              </w:rPr>
              <w:t xml:space="preserve"> affected</w:t>
            </w:r>
            <w:r w:rsidR="00334485" w:rsidRPr="00EA32D0">
              <w:rPr>
                <w:rFonts w:asciiTheme="minorHAnsi" w:hAnsiTheme="minorHAnsi" w:cstheme="minorHAnsi"/>
                <w:iCs/>
                <w:sz w:val="22"/>
                <w:szCs w:val="22"/>
              </w:rPr>
              <w:t xml:space="preserve"> Turkana </w:t>
            </w:r>
            <w:r w:rsidRPr="00EA32D0">
              <w:rPr>
                <w:rFonts w:asciiTheme="minorHAnsi" w:hAnsiTheme="minorHAnsi" w:cstheme="minorHAnsi"/>
                <w:iCs/>
                <w:sz w:val="22"/>
                <w:szCs w:val="22"/>
              </w:rPr>
              <w:t>communities</w:t>
            </w:r>
            <w:r w:rsidR="0079531F" w:rsidRPr="00EA32D0">
              <w:rPr>
                <w:rFonts w:asciiTheme="minorHAnsi" w:hAnsiTheme="minorHAnsi" w:cstheme="minorHAnsi"/>
                <w:iCs/>
                <w:sz w:val="22"/>
                <w:szCs w:val="22"/>
              </w:rPr>
              <w:t>.</w:t>
            </w:r>
          </w:p>
          <w:p w14:paraId="5C37B991" w14:textId="77777777" w:rsidR="00F875DD" w:rsidRPr="00EA32D0" w:rsidRDefault="00F875DD" w:rsidP="00317FC2">
            <w:pPr>
              <w:pStyle w:val="BulletPoints"/>
              <w:numPr>
                <w:ilvl w:val="0"/>
                <w:numId w:val="0"/>
              </w:numPr>
              <w:spacing w:after="0"/>
              <w:ind w:firstLine="340"/>
              <w:rPr>
                <w:rFonts w:asciiTheme="minorHAnsi" w:hAnsiTheme="minorHAnsi" w:cstheme="minorHAnsi"/>
                <w:iCs/>
                <w:sz w:val="22"/>
                <w:szCs w:val="22"/>
              </w:rPr>
            </w:pPr>
          </w:p>
          <w:p w14:paraId="5E014913" w14:textId="5BE6F72A" w:rsidR="000A3F21" w:rsidRDefault="000A3F21" w:rsidP="00B07CE8">
            <w:pPr>
              <w:pStyle w:val="BulletPoints"/>
              <w:numPr>
                <w:ilvl w:val="0"/>
                <w:numId w:val="8"/>
              </w:numPr>
              <w:spacing w:after="0"/>
              <w:rPr>
                <w:rFonts w:asciiTheme="minorHAnsi" w:hAnsiTheme="minorHAnsi" w:cstheme="minorHAnsi"/>
                <w:b/>
                <w:bCs/>
                <w:iCs/>
                <w:sz w:val="22"/>
                <w:szCs w:val="22"/>
              </w:rPr>
            </w:pPr>
            <w:r w:rsidRPr="00CC7A2D">
              <w:rPr>
                <w:rFonts w:asciiTheme="minorHAnsi" w:hAnsiTheme="minorHAnsi" w:cstheme="minorHAnsi"/>
                <w:b/>
                <w:bCs/>
                <w:iCs/>
                <w:sz w:val="22"/>
                <w:szCs w:val="22"/>
              </w:rPr>
              <w:t>Environmental</w:t>
            </w:r>
            <w:r w:rsidR="0079531F" w:rsidRPr="00CC7A2D">
              <w:rPr>
                <w:rFonts w:asciiTheme="minorHAnsi" w:hAnsiTheme="minorHAnsi" w:cstheme="minorHAnsi"/>
                <w:b/>
                <w:bCs/>
                <w:iCs/>
                <w:sz w:val="22"/>
                <w:szCs w:val="22"/>
              </w:rPr>
              <w:t xml:space="preserve"> risks persist because </w:t>
            </w:r>
            <w:r w:rsidR="004577CA" w:rsidRPr="00CC7A2D">
              <w:rPr>
                <w:rFonts w:asciiTheme="minorHAnsi" w:hAnsiTheme="minorHAnsi" w:cstheme="minorHAnsi"/>
                <w:b/>
                <w:bCs/>
                <w:iCs/>
                <w:sz w:val="22"/>
                <w:szCs w:val="22"/>
              </w:rPr>
              <w:t xml:space="preserve">of weak </w:t>
            </w:r>
            <w:r w:rsidR="0079531F" w:rsidRPr="00CC7A2D">
              <w:rPr>
                <w:rFonts w:asciiTheme="minorHAnsi" w:hAnsiTheme="minorHAnsi" w:cstheme="minorHAnsi"/>
                <w:b/>
                <w:bCs/>
                <w:iCs/>
                <w:sz w:val="22"/>
                <w:szCs w:val="22"/>
              </w:rPr>
              <w:t>enforcement</w:t>
            </w:r>
          </w:p>
          <w:p w14:paraId="5171F170" w14:textId="77777777" w:rsidR="00DA2703" w:rsidRPr="00C765D0" w:rsidRDefault="00DA2703" w:rsidP="00DA2703">
            <w:pPr>
              <w:pStyle w:val="BulletPoints"/>
              <w:numPr>
                <w:ilvl w:val="0"/>
                <w:numId w:val="0"/>
              </w:numPr>
              <w:spacing w:after="0"/>
              <w:ind w:left="360"/>
              <w:rPr>
                <w:rFonts w:asciiTheme="minorHAnsi" w:hAnsiTheme="minorHAnsi" w:cstheme="minorHAnsi"/>
                <w:b/>
                <w:bCs/>
                <w:iCs/>
                <w:sz w:val="22"/>
                <w:szCs w:val="22"/>
              </w:rPr>
            </w:pPr>
          </w:p>
          <w:p w14:paraId="27354CA7" w14:textId="491A1298" w:rsidR="0047468E" w:rsidRPr="00695E42" w:rsidRDefault="00093AAC" w:rsidP="00C765D0">
            <w:pPr>
              <w:pStyle w:val="BulletPoints"/>
              <w:numPr>
                <w:ilvl w:val="0"/>
                <w:numId w:val="0"/>
              </w:numPr>
              <w:spacing w:after="0"/>
              <w:rPr>
                <w:rFonts w:asciiTheme="minorHAnsi" w:hAnsiTheme="minorHAnsi" w:cstheme="minorHAnsi"/>
                <w:strike/>
                <w:sz w:val="22"/>
                <w:szCs w:val="22"/>
              </w:rPr>
            </w:pPr>
            <w:r>
              <w:rPr>
                <w:rFonts w:asciiTheme="minorHAnsi" w:hAnsiTheme="minorHAnsi" w:cstheme="minorHAnsi"/>
                <w:iCs/>
                <w:sz w:val="22"/>
                <w:szCs w:val="22"/>
              </w:rPr>
              <w:t xml:space="preserve">Kenya has established </w:t>
            </w:r>
            <w:r w:rsidR="00620515">
              <w:rPr>
                <w:rFonts w:asciiTheme="minorHAnsi" w:hAnsiTheme="minorHAnsi" w:cstheme="minorHAnsi"/>
                <w:iCs/>
                <w:sz w:val="22"/>
                <w:szCs w:val="22"/>
              </w:rPr>
              <w:t xml:space="preserve">environmental laws and regulatory institutions intended to ensure </w:t>
            </w:r>
            <w:r w:rsidR="00EB1C33">
              <w:rPr>
                <w:rFonts w:asciiTheme="minorHAnsi" w:hAnsiTheme="minorHAnsi" w:cstheme="minorHAnsi"/>
                <w:iCs/>
                <w:sz w:val="22"/>
                <w:szCs w:val="22"/>
              </w:rPr>
              <w:t xml:space="preserve">that extractive development is conducted sustainably and that affected communities </w:t>
            </w:r>
            <w:r w:rsidR="00D33F0C">
              <w:rPr>
                <w:rFonts w:asciiTheme="minorHAnsi" w:hAnsiTheme="minorHAnsi" w:cstheme="minorHAnsi"/>
                <w:iCs/>
                <w:sz w:val="22"/>
                <w:szCs w:val="22"/>
              </w:rPr>
              <w:t xml:space="preserve">benefit from resource projects. </w:t>
            </w:r>
            <w:r w:rsidR="00A83806">
              <w:rPr>
                <w:rFonts w:asciiTheme="minorHAnsi" w:hAnsiTheme="minorHAnsi" w:cstheme="minorHAnsi"/>
                <w:iCs/>
                <w:sz w:val="22"/>
                <w:szCs w:val="22"/>
              </w:rPr>
              <w:t>However, field</w:t>
            </w:r>
            <w:r w:rsidR="00BE1508">
              <w:rPr>
                <w:rFonts w:asciiTheme="minorHAnsi" w:hAnsiTheme="minorHAnsi" w:cstheme="minorHAnsi"/>
                <w:iCs/>
                <w:sz w:val="22"/>
                <w:szCs w:val="22"/>
              </w:rPr>
              <w:t xml:space="preserve"> evidence from Turkana suggest</w:t>
            </w:r>
            <w:r w:rsidR="008D7D17">
              <w:rPr>
                <w:rFonts w:asciiTheme="minorHAnsi" w:hAnsiTheme="minorHAnsi" w:cstheme="minorHAnsi"/>
                <w:iCs/>
                <w:sz w:val="22"/>
                <w:szCs w:val="22"/>
              </w:rPr>
              <w:t>s</w:t>
            </w:r>
            <w:r w:rsidR="00BE1508">
              <w:rPr>
                <w:rFonts w:asciiTheme="minorHAnsi" w:hAnsiTheme="minorHAnsi" w:cstheme="minorHAnsi"/>
                <w:iCs/>
                <w:sz w:val="22"/>
                <w:szCs w:val="22"/>
              </w:rPr>
              <w:t xml:space="preserve"> that </w:t>
            </w:r>
            <w:r w:rsidR="00A83806">
              <w:rPr>
                <w:rFonts w:asciiTheme="minorHAnsi" w:hAnsiTheme="minorHAnsi" w:cstheme="minorHAnsi"/>
                <w:iCs/>
                <w:sz w:val="22"/>
                <w:szCs w:val="22"/>
              </w:rPr>
              <w:t>enforcement on the ground is limited.</w:t>
            </w:r>
            <w:r w:rsidR="00C42848" w:rsidRPr="00EA32D0">
              <w:rPr>
                <w:rFonts w:asciiTheme="minorHAnsi" w:hAnsiTheme="minorHAnsi" w:cstheme="minorHAnsi"/>
                <w:iCs/>
                <w:sz w:val="22"/>
                <w:szCs w:val="22"/>
              </w:rPr>
              <w:t xml:space="preserve"> Communities report</w:t>
            </w:r>
            <w:r w:rsidR="003E759B">
              <w:rPr>
                <w:rFonts w:asciiTheme="minorHAnsi" w:hAnsiTheme="minorHAnsi" w:cstheme="minorHAnsi"/>
                <w:iCs/>
                <w:sz w:val="22"/>
                <w:szCs w:val="22"/>
              </w:rPr>
              <w:t>ed</w:t>
            </w:r>
            <w:r w:rsidR="00C42848" w:rsidRPr="00EA32D0">
              <w:rPr>
                <w:rFonts w:asciiTheme="minorHAnsi" w:hAnsiTheme="minorHAnsi" w:cstheme="minorHAnsi"/>
                <w:iCs/>
                <w:sz w:val="22"/>
                <w:szCs w:val="22"/>
              </w:rPr>
              <w:t xml:space="preserve"> concerns about water </w:t>
            </w:r>
            <w:r w:rsidR="00C42848" w:rsidRPr="00EA32D0">
              <w:rPr>
                <w:rFonts w:asciiTheme="minorHAnsi" w:hAnsiTheme="minorHAnsi" w:cstheme="minorHAnsi"/>
                <w:iCs/>
                <w:sz w:val="22"/>
                <w:szCs w:val="22"/>
              </w:rPr>
              <w:t xml:space="preserve">contamination and livestock </w:t>
            </w:r>
            <w:r w:rsidR="009C01A1" w:rsidRPr="00EA32D0">
              <w:rPr>
                <w:rFonts w:asciiTheme="minorHAnsi" w:hAnsiTheme="minorHAnsi" w:cstheme="minorHAnsi"/>
                <w:iCs/>
                <w:sz w:val="22"/>
                <w:szCs w:val="22"/>
              </w:rPr>
              <w:t>deaths</w:t>
            </w:r>
            <w:r w:rsidR="00C42848" w:rsidRPr="00EA32D0">
              <w:rPr>
                <w:rFonts w:asciiTheme="minorHAnsi" w:hAnsiTheme="minorHAnsi" w:cstheme="minorHAnsi"/>
                <w:iCs/>
                <w:sz w:val="22"/>
                <w:szCs w:val="22"/>
              </w:rPr>
              <w:t xml:space="preserve"> near oil sites</w:t>
            </w:r>
            <w:r w:rsidR="0047468E">
              <w:rPr>
                <w:rFonts w:asciiTheme="minorHAnsi" w:hAnsiTheme="minorHAnsi" w:cstheme="minorHAnsi"/>
                <w:iCs/>
                <w:sz w:val="22"/>
                <w:szCs w:val="22"/>
              </w:rPr>
              <w:t xml:space="preserve">. </w:t>
            </w:r>
            <w:r w:rsidR="0047468E" w:rsidRPr="00EA32D0">
              <w:rPr>
                <w:rFonts w:asciiTheme="minorHAnsi" w:hAnsiTheme="minorHAnsi" w:cstheme="minorHAnsi"/>
                <w:sz w:val="22"/>
                <w:szCs w:val="22"/>
              </w:rPr>
              <w:t xml:space="preserve">Regulatory presence on the ground </w:t>
            </w:r>
            <w:r w:rsidR="003E759B">
              <w:rPr>
                <w:rFonts w:asciiTheme="minorHAnsi" w:hAnsiTheme="minorHAnsi" w:cstheme="minorHAnsi"/>
                <w:sz w:val="22"/>
                <w:szCs w:val="22"/>
              </w:rPr>
              <w:t>was</w:t>
            </w:r>
            <w:r w:rsidR="0047468E" w:rsidRPr="00EA32D0">
              <w:rPr>
                <w:rFonts w:asciiTheme="minorHAnsi" w:hAnsiTheme="minorHAnsi" w:cstheme="minorHAnsi"/>
                <w:sz w:val="22"/>
                <w:szCs w:val="22"/>
              </w:rPr>
              <w:t xml:space="preserve"> limited as the National Environment and Management Authority</w:t>
            </w:r>
            <w:r w:rsidR="0041611C">
              <w:rPr>
                <w:rFonts w:asciiTheme="minorHAnsi" w:hAnsiTheme="minorHAnsi" w:cstheme="minorHAnsi"/>
                <w:sz w:val="22"/>
                <w:szCs w:val="22"/>
              </w:rPr>
              <w:t>, which is responsible for environmental compliance</w:t>
            </w:r>
            <w:r w:rsidR="00425638">
              <w:rPr>
                <w:rFonts w:asciiTheme="minorHAnsi" w:hAnsiTheme="minorHAnsi" w:cstheme="minorHAnsi"/>
                <w:sz w:val="22"/>
                <w:szCs w:val="22"/>
              </w:rPr>
              <w:t>,</w:t>
            </w:r>
            <w:r w:rsidR="0047468E" w:rsidRPr="00EA32D0">
              <w:rPr>
                <w:rFonts w:asciiTheme="minorHAnsi" w:hAnsiTheme="minorHAnsi" w:cstheme="minorHAnsi"/>
                <w:sz w:val="22"/>
                <w:szCs w:val="22"/>
              </w:rPr>
              <w:t xml:space="preserve"> </w:t>
            </w:r>
            <w:r w:rsidR="00295E20">
              <w:rPr>
                <w:rFonts w:asciiTheme="minorHAnsi" w:hAnsiTheme="minorHAnsi" w:cstheme="minorHAnsi"/>
                <w:sz w:val="22"/>
                <w:szCs w:val="22"/>
              </w:rPr>
              <w:t>was</w:t>
            </w:r>
            <w:r w:rsidR="0047468E" w:rsidRPr="00EA32D0">
              <w:rPr>
                <w:rFonts w:asciiTheme="minorHAnsi" w:hAnsiTheme="minorHAnsi" w:cstheme="minorHAnsi"/>
                <w:sz w:val="22"/>
                <w:szCs w:val="22"/>
              </w:rPr>
              <w:t xml:space="preserve"> reported to conduct minimal routine inspection</w:t>
            </w:r>
            <w:r w:rsidR="0047468E">
              <w:rPr>
                <w:rFonts w:asciiTheme="minorHAnsi" w:hAnsiTheme="minorHAnsi" w:cstheme="minorHAnsi"/>
                <w:sz w:val="22"/>
                <w:szCs w:val="22"/>
              </w:rPr>
              <w:t xml:space="preserve"> and </w:t>
            </w:r>
            <w:r w:rsidR="00425638">
              <w:rPr>
                <w:rFonts w:asciiTheme="minorHAnsi" w:hAnsiTheme="minorHAnsi" w:cstheme="minorHAnsi"/>
                <w:sz w:val="22"/>
                <w:szCs w:val="22"/>
              </w:rPr>
              <w:t>monitoring activities</w:t>
            </w:r>
            <w:r w:rsidR="008D7D17">
              <w:rPr>
                <w:rFonts w:asciiTheme="minorHAnsi" w:hAnsiTheme="minorHAnsi" w:cstheme="minorHAnsi"/>
                <w:sz w:val="22"/>
                <w:szCs w:val="22"/>
              </w:rPr>
              <w:t>,</w:t>
            </w:r>
            <w:r w:rsidR="00425638">
              <w:rPr>
                <w:rFonts w:asciiTheme="minorHAnsi" w:hAnsiTheme="minorHAnsi" w:cstheme="minorHAnsi"/>
                <w:sz w:val="22"/>
                <w:szCs w:val="22"/>
              </w:rPr>
              <w:t xml:space="preserve"> </w:t>
            </w:r>
            <w:r w:rsidR="0047468E">
              <w:rPr>
                <w:rFonts w:asciiTheme="minorHAnsi" w:hAnsiTheme="minorHAnsi" w:cstheme="minorHAnsi"/>
                <w:sz w:val="22"/>
                <w:szCs w:val="22"/>
              </w:rPr>
              <w:t xml:space="preserve">often </w:t>
            </w:r>
            <w:r w:rsidR="000C5C36">
              <w:rPr>
                <w:rFonts w:asciiTheme="minorHAnsi" w:hAnsiTheme="minorHAnsi" w:cstheme="minorHAnsi"/>
                <w:sz w:val="22"/>
                <w:szCs w:val="22"/>
              </w:rPr>
              <w:t>after community complaints emerge</w:t>
            </w:r>
            <w:r w:rsidR="008D7D17">
              <w:rPr>
                <w:rFonts w:asciiTheme="minorHAnsi" w:hAnsiTheme="minorHAnsi" w:cstheme="minorHAnsi"/>
                <w:sz w:val="22"/>
                <w:szCs w:val="22"/>
              </w:rPr>
              <w:t>d</w:t>
            </w:r>
            <w:r w:rsidR="00695E42">
              <w:rPr>
                <w:rFonts w:asciiTheme="minorHAnsi" w:hAnsiTheme="minorHAnsi" w:cstheme="minorHAnsi"/>
                <w:sz w:val="22"/>
                <w:szCs w:val="22"/>
              </w:rPr>
              <w:t>.</w:t>
            </w:r>
          </w:p>
          <w:p w14:paraId="48942D87" w14:textId="605D69EC" w:rsidR="00896CB8" w:rsidRDefault="000F70A5" w:rsidP="00317FC2">
            <w:pPr>
              <w:pStyle w:val="BulletPoints"/>
              <w:numPr>
                <w:ilvl w:val="0"/>
                <w:numId w:val="0"/>
              </w:numPr>
              <w:spacing w:after="0"/>
              <w:ind w:firstLine="340"/>
              <w:rPr>
                <w:rFonts w:asciiTheme="minorHAnsi" w:hAnsiTheme="minorHAnsi" w:cstheme="minorHAnsi"/>
                <w:iCs/>
                <w:sz w:val="22"/>
                <w:szCs w:val="22"/>
              </w:rPr>
            </w:pPr>
            <w:r w:rsidRPr="00EA32D0">
              <w:rPr>
                <w:rFonts w:asciiTheme="minorHAnsi" w:hAnsiTheme="minorHAnsi" w:cstheme="minorHAnsi"/>
                <w:iCs/>
                <w:sz w:val="22"/>
                <w:szCs w:val="22"/>
              </w:rPr>
              <w:t>Post-approval monitoring is weak</w:t>
            </w:r>
            <w:r w:rsidR="00177DC8" w:rsidRPr="00EA32D0">
              <w:rPr>
                <w:rFonts w:asciiTheme="minorHAnsi" w:hAnsiTheme="minorHAnsi" w:cstheme="minorHAnsi"/>
                <w:iCs/>
                <w:sz w:val="22"/>
                <w:szCs w:val="22"/>
              </w:rPr>
              <w:t>,</w:t>
            </w:r>
            <w:r w:rsidRPr="00EA32D0">
              <w:rPr>
                <w:rFonts w:asciiTheme="minorHAnsi" w:hAnsiTheme="minorHAnsi" w:cstheme="minorHAnsi"/>
                <w:iCs/>
                <w:sz w:val="22"/>
                <w:szCs w:val="22"/>
              </w:rPr>
              <w:t xml:space="preserve"> environmental data is not easily </w:t>
            </w:r>
            <w:r w:rsidR="00A62FB1" w:rsidRPr="00EA32D0">
              <w:rPr>
                <w:rFonts w:asciiTheme="minorHAnsi" w:hAnsiTheme="minorHAnsi" w:cstheme="minorHAnsi"/>
                <w:iCs/>
                <w:sz w:val="22"/>
                <w:szCs w:val="22"/>
              </w:rPr>
              <w:t>accessible,</w:t>
            </w:r>
            <w:r w:rsidR="00177DC8" w:rsidRPr="00EA32D0">
              <w:rPr>
                <w:rFonts w:asciiTheme="minorHAnsi" w:hAnsiTheme="minorHAnsi" w:cstheme="minorHAnsi"/>
                <w:iCs/>
                <w:sz w:val="22"/>
                <w:szCs w:val="22"/>
              </w:rPr>
              <w:t xml:space="preserve"> and grievance mechanisms are </w:t>
            </w:r>
            <w:r w:rsidR="00C6773D">
              <w:rPr>
                <w:rFonts w:asciiTheme="minorHAnsi" w:hAnsiTheme="minorHAnsi" w:cstheme="minorHAnsi"/>
                <w:iCs/>
                <w:sz w:val="22"/>
                <w:szCs w:val="22"/>
              </w:rPr>
              <w:t>un</w:t>
            </w:r>
            <w:r w:rsidR="001017AC" w:rsidRPr="00EA32D0">
              <w:rPr>
                <w:rFonts w:asciiTheme="minorHAnsi" w:hAnsiTheme="minorHAnsi" w:cstheme="minorHAnsi"/>
                <w:iCs/>
                <w:sz w:val="22"/>
                <w:szCs w:val="22"/>
              </w:rPr>
              <w:t>clear</w:t>
            </w:r>
            <w:r w:rsidR="00DA7814" w:rsidRPr="00EA32D0">
              <w:rPr>
                <w:rFonts w:asciiTheme="minorHAnsi" w:hAnsiTheme="minorHAnsi" w:cstheme="minorHAnsi"/>
                <w:iCs/>
                <w:sz w:val="22"/>
                <w:szCs w:val="22"/>
              </w:rPr>
              <w:t xml:space="preserve">. As one civil society </w:t>
            </w:r>
            <w:r w:rsidR="001017AC" w:rsidRPr="00EA32D0">
              <w:rPr>
                <w:rFonts w:asciiTheme="minorHAnsi" w:hAnsiTheme="minorHAnsi" w:cstheme="minorHAnsi"/>
                <w:iCs/>
                <w:sz w:val="22"/>
                <w:szCs w:val="22"/>
              </w:rPr>
              <w:t xml:space="preserve">representative </w:t>
            </w:r>
            <w:r w:rsidR="00A62FB1" w:rsidRPr="00EA32D0">
              <w:rPr>
                <w:rFonts w:asciiTheme="minorHAnsi" w:hAnsiTheme="minorHAnsi" w:cstheme="minorHAnsi"/>
                <w:iCs/>
                <w:sz w:val="22"/>
                <w:szCs w:val="22"/>
              </w:rPr>
              <w:t>noted</w:t>
            </w:r>
            <w:r w:rsidR="00896CB8" w:rsidRPr="00EA32D0">
              <w:rPr>
                <w:rFonts w:asciiTheme="minorHAnsi" w:hAnsiTheme="minorHAnsi" w:cstheme="minorHAnsi"/>
                <w:iCs/>
                <w:sz w:val="22"/>
                <w:szCs w:val="22"/>
              </w:rPr>
              <w:t>:</w:t>
            </w:r>
          </w:p>
          <w:p w14:paraId="322F24D9" w14:textId="77777777" w:rsidR="00EB7BB0" w:rsidRDefault="00DA7814" w:rsidP="003C30B0">
            <w:pPr>
              <w:pStyle w:val="BulletPoints"/>
              <w:numPr>
                <w:ilvl w:val="0"/>
                <w:numId w:val="0"/>
              </w:numPr>
              <w:spacing w:before="120" w:after="60"/>
              <w:ind w:left="245"/>
              <w:rPr>
                <w:rFonts w:asciiTheme="minorHAnsi" w:hAnsiTheme="minorHAnsi" w:cstheme="minorHAnsi"/>
                <w:i/>
                <w:sz w:val="22"/>
                <w:szCs w:val="22"/>
              </w:rPr>
            </w:pPr>
            <w:r w:rsidRPr="00695E42">
              <w:rPr>
                <w:rFonts w:asciiTheme="minorHAnsi" w:hAnsiTheme="minorHAnsi" w:cstheme="minorHAnsi"/>
                <w:i/>
                <w:sz w:val="22"/>
                <w:szCs w:val="22"/>
              </w:rPr>
              <w:t>The grievances from the community are not taken anywhere because even the company itself does not know where to take the grievance</w:t>
            </w:r>
            <w:r w:rsidR="00EB7BB0">
              <w:rPr>
                <w:rFonts w:asciiTheme="minorHAnsi" w:hAnsiTheme="minorHAnsi" w:cstheme="minorHAnsi"/>
                <w:i/>
                <w:sz w:val="22"/>
                <w:szCs w:val="22"/>
              </w:rPr>
              <w:t>.</w:t>
            </w:r>
          </w:p>
          <w:p w14:paraId="7CB5E9B2" w14:textId="5B5455C6" w:rsidR="00DA7814" w:rsidRPr="00EB7BB0" w:rsidRDefault="00DA7814" w:rsidP="00695E42">
            <w:pPr>
              <w:pStyle w:val="BulletPoints"/>
              <w:numPr>
                <w:ilvl w:val="0"/>
                <w:numId w:val="0"/>
              </w:numPr>
              <w:spacing w:after="0"/>
              <w:ind w:left="706"/>
              <w:jc w:val="right"/>
              <w:rPr>
                <w:rFonts w:asciiTheme="minorHAnsi" w:hAnsiTheme="minorHAnsi" w:cstheme="minorHAnsi"/>
                <w:iCs/>
                <w:sz w:val="22"/>
                <w:szCs w:val="22"/>
              </w:rPr>
            </w:pPr>
            <w:r w:rsidRPr="00EB7BB0">
              <w:rPr>
                <w:rFonts w:asciiTheme="minorHAnsi" w:hAnsiTheme="minorHAnsi" w:cstheme="minorHAnsi"/>
                <w:iCs/>
                <w:sz w:val="22"/>
                <w:szCs w:val="22"/>
              </w:rPr>
              <w:t xml:space="preserve"> </w:t>
            </w:r>
            <w:r w:rsidR="0098531C" w:rsidRPr="00EB7BB0">
              <w:rPr>
                <w:rFonts w:asciiTheme="minorHAnsi" w:hAnsiTheme="minorHAnsi" w:cstheme="minorHAnsi"/>
                <w:iCs/>
                <w:sz w:val="22"/>
                <w:szCs w:val="22"/>
              </w:rPr>
              <w:t>Interview with Civil Society Re</w:t>
            </w:r>
            <w:r w:rsidRPr="00EB7BB0">
              <w:rPr>
                <w:rFonts w:asciiTheme="minorHAnsi" w:hAnsiTheme="minorHAnsi" w:cstheme="minorHAnsi"/>
                <w:iCs/>
                <w:sz w:val="22"/>
                <w:szCs w:val="22"/>
              </w:rPr>
              <w:t>presentative, Turkana</w:t>
            </w:r>
            <w:r w:rsidR="00EB7BB0" w:rsidRPr="00695E42">
              <w:rPr>
                <w:rFonts w:asciiTheme="minorHAnsi" w:hAnsiTheme="minorHAnsi" w:cstheme="minorHAnsi"/>
                <w:iCs/>
                <w:sz w:val="22"/>
                <w:szCs w:val="22"/>
              </w:rPr>
              <w:t xml:space="preserve"> County</w:t>
            </w:r>
            <w:r w:rsidR="00754214" w:rsidRPr="00EB7BB0">
              <w:rPr>
                <w:rFonts w:asciiTheme="minorHAnsi" w:hAnsiTheme="minorHAnsi" w:cstheme="minorHAnsi"/>
                <w:iCs/>
                <w:sz w:val="22"/>
                <w:szCs w:val="22"/>
              </w:rPr>
              <w:t xml:space="preserve"> </w:t>
            </w:r>
            <w:r w:rsidR="00EB7BB0" w:rsidRPr="00695E42">
              <w:rPr>
                <w:rFonts w:asciiTheme="minorHAnsi" w:hAnsiTheme="minorHAnsi" w:cstheme="minorHAnsi"/>
                <w:iCs/>
                <w:sz w:val="22"/>
                <w:szCs w:val="22"/>
              </w:rPr>
              <w:t>(</w:t>
            </w:r>
            <w:r w:rsidR="00754214" w:rsidRPr="00EB7BB0">
              <w:rPr>
                <w:rFonts w:asciiTheme="minorHAnsi" w:hAnsiTheme="minorHAnsi" w:cstheme="minorHAnsi"/>
                <w:iCs/>
                <w:sz w:val="22"/>
                <w:szCs w:val="22"/>
              </w:rPr>
              <w:t>August</w:t>
            </w:r>
            <w:r w:rsidRPr="00EB7BB0">
              <w:rPr>
                <w:rFonts w:asciiTheme="minorHAnsi" w:hAnsiTheme="minorHAnsi" w:cstheme="minorHAnsi"/>
                <w:iCs/>
                <w:sz w:val="22"/>
                <w:szCs w:val="22"/>
              </w:rPr>
              <w:t xml:space="preserve"> 2024</w:t>
            </w:r>
            <w:r w:rsidR="00EB7BB0" w:rsidRPr="00695E42">
              <w:rPr>
                <w:rFonts w:asciiTheme="minorHAnsi" w:hAnsiTheme="minorHAnsi" w:cstheme="minorHAnsi"/>
                <w:iCs/>
                <w:sz w:val="22"/>
                <w:szCs w:val="22"/>
              </w:rPr>
              <w:t>)</w:t>
            </w:r>
          </w:p>
          <w:p w14:paraId="15A24303" w14:textId="7C4D933F" w:rsidR="00EB7BB0" w:rsidRPr="00EA32D0" w:rsidRDefault="00EB7BB0" w:rsidP="00D00695">
            <w:pPr>
              <w:pStyle w:val="BulletPoints"/>
              <w:numPr>
                <w:ilvl w:val="0"/>
                <w:numId w:val="0"/>
              </w:numPr>
              <w:spacing w:after="0"/>
              <w:ind w:left="9234" w:firstLine="340"/>
              <w:rPr>
                <w:rFonts w:asciiTheme="minorHAnsi" w:hAnsiTheme="minorHAnsi" w:cstheme="minorHAnsi"/>
                <w:iCs/>
                <w:sz w:val="22"/>
                <w:szCs w:val="22"/>
              </w:rPr>
            </w:pPr>
          </w:p>
          <w:p w14:paraId="275D704B" w14:textId="62884B41" w:rsidR="00164C12" w:rsidRDefault="00D9394C" w:rsidP="00C765D0">
            <w:pPr>
              <w:pStyle w:val="BulletPoints"/>
              <w:numPr>
                <w:ilvl w:val="0"/>
                <w:numId w:val="0"/>
              </w:numPr>
              <w:spacing w:after="0"/>
              <w:rPr>
                <w:rFonts w:asciiTheme="minorHAnsi" w:hAnsiTheme="minorHAnsi" w:cstheme="minorHAnsi"/>
                <w:sz w:val="22"/>
                <w:szCs w:val="22"/>
              </w:rPr>
            </w:pPr>
            <w:r w:rsidRPr="00D9394C">
              <w:rPr>
                <w:rFonts w:asciiTheme="minorHAnsi" w:hAnsiTheme="minorHAnsi" w:cstheme="minorHAnsi"/>
                <w:sz w:val="22"/>
                <w:szCs w:val="22"/>
              </w:rPr>
              <w:t>Although environmental legislation has been strengthened through successive reforms to promote sustainability and community benefit sharing, the</w:t>
            </w:r>
            <w:r>
              <w:rPr>
                <w:rFonts w:asciiTheme="minorHAnsi" w:hAnsiTheme="minorHAnsi" w:cstheme="minorHAnsi"/>
                <w:sz w:val="22"/>
                <w:szCs w:val="22"/>
              </w:rPr>
              <w:t xml:space="preserve"> extractive</w:t>
            </w:r>
            <w:r w:rsidRPr="00D9394C">
              <w:rPr>
                <w:rFonts w:asciiTheme="minorHAnsi" w:hAnsiTheme="minorHAnsi" w:cstheme="minorHAnsi"/>
                <w:sz w:val="22"/>
                <w:szCs w:val="22"/>
              </w:rPr>
              <w:t xml:space="preserve"> governance framework also emphasises attracting investment and facilitating project development. In practice, this has allowed </w:t>
            </w:r>
            <w:r w:rsidR="00436CB9">
              <w:rPr>
                <w:rFonts w:asciiTheme="minorHAnsi" w:hAnsiTheme="minorHAnsi" w:cstheme="minorHAnsi"/>
                <w:sz w:val="22"/>
                <w:szCs w:val="22"/>
              </w:rPr>
              <w:t xml:space="preserve">international oil </w:t>
            </w:r>
            <w:r w:rsidRPr="00D9394C">
              <w:rPr>
                <w:rFonts w:asciiTheme="minorHAnsi" w:hAnsiTheme="minorHAnsi" w:cstheme="minorHAnsi"/>
                <w:sz w:val="22"/>
                <w:szCs w:val="22"/>
              </w:rPr>
              <w:t>companies to rely heavily on voluntary corporate social responsibility initiatives and internal standards to manage social and environmental impacts. While these initiatives may provide short-term community projects, they are not enforceable mechanisms of accountability and can function primarily as risk management or reputational strategies rather than as effective safeguards for affected communities.</w:t>
            </w:r>
            <w:r w:rsidR="00251CD5">
              <w:rPr>
                <w:rFonts w:asciiTheme="minorHAnsi" w:hAnsiTheme="minorHAnsi" w:cstheme="minorHAnsi"/>
                <w:sz w:val="22"/>
                <w:szCs w:val="22"/>
              </w:rPr>
              <w:t xml:space="preserve"> </w:t>
            </w:r>
            <w:r w:rsidRPr="00D9394C">
              <w:rPr>
                <w:rFonts w:asciiTheme="minorHAnsi" w:hAnsiTheme="minorHAnsi" w:cstheme="minorHAnsi"/>
                <w:sz w:val="22"/>
                <w:szCs w:val="22"/>
              </w:rPr>
              <w:t>As a result, responsibility for managing environmental impacts is often shifted from public regulators to companies themselves, creating gaps in oversight and limited remedies when harm occurs</w:t>
            </w:r>
            <w:r w:rsidR="00301FE5">
              <w:rPr>
                <w:rFonts w:asciiTheme="minorHAnsi" w:hAnsiTheme="minorHAnsi" w:cstheme="minorHAnsi"/>
                <w:sz w:val="22"/>
                <w:szCs w:val="22"/>
              </w:rPr>
              <w:t xml:space="preserve"> </w:t>
            </w:r>
            <w:r w:rsidR="00E35181" w:rsidRPr="00AB0ADE">
              <w:rPr>
                <w:rFonts w:ascii="Calibri" w:hAnsi="Calibri" w:cs="Calibri"/>
                <w:sz w:val="22"/>
                <w:szCs w:val="22"/>
              </w:rPr>
              <w:fldChar w:fldCharType="begin"/>
            </w:r>
            <w:r w:rsidR="00E35181" w:rsidRPr="00AB0ADE">
              <w:rPr>
                <w:rFonts w:ascii="Calibri" w:hAnsi="Calibri" w:cs="Calibri"/>
                <w:sz w:val="22"/>
                <w:szCs w:val="22"/>
              </w:rPr>
              <w:instrText xml:space="preserve"> ADDIN ZOTERO_ITEM CSL_CITATION {"citationID":"KixAproq","properties":{"unsorted":false,"formattedCitation":"(Campbell, 2013; Szablowski, 2007)","plainCitation":"(Campbell, 2013; Szablowski, 2007)","noteIndex":0},"citationItems":[{"id":2,"uris":["http://zotero.org/users/11681747/items/F7K92T6P"],"itemData":{"id":2,"type":"book","DOI":"10.1057/9781137332318","ISBN":"978-1-349-46675-7","language":"en","publisher":"Palgrave Macmillan UK","publisher-place":"London","source":"DOI.org (Crossref)","title":"Modes of Governance and Revenue Flows in African Mining","URL":"http://link.springer.com/10.1057/9781137332318","editor":[{"family":"Campbell","given":"Bonnie K."}],"accessed":{"date-parts":[["2023",5,10]]},"issued":{"date-parts":[["2013"]]}}},{"id":300,"uris":["http://zotero.org/users/11681747/items/PARSQTG9"],"itemData":{"id":300,"type":"book","abstract":"This book examines the regulation of the conflicts into transnational mining investment through national, transnational and local legal processes.;The global spread of transnational mining investment, which has been taking place since the 1990s, has led to often volatile conflicts with local communities. This book examines the regulation of these conflicts through national, transnational and local legal processes. In doing so, it examines how legal authority is being redistributed among public and private actors, as well as national and transnational actors, as a result of globalizing forces. The book presents a case study concerning the negotiation of land transfer and resettlement between a transnational mining enterprise and indigenous peasants in the Andes of Peru. The case study is used to explore the intensely local dynamics involved in negotiations between corporate and community representatives and the role played by legal ordering in these relations. In particular, the book examines the operation of a transnational legal regime managed by the World Bank to remedy the social and environmental impacts of projects which receive Bank assistance. The book explores the nature and character of the World Bank regime and the multiple consequences of this projection of transnational law into a local dispute.;A report on the global spread of transnational mining investment since the 1990s and the conflicts that this spread has created in developing nations. In particular, the book looks at the operation of the transnational working of the World Bank in mining.;Public International Law;The global spread of transnational mining investment, which has been taking place since the 1990s, has led to often volatile conflicts with local communities. This book examines the regulation of these conflicts through national, transnational and local legal processes. In doing so, it examines how legal authority is being redistributed among public and private actors, as well as national and transnational actors, as a result of globalizing forces.;","collection-number":"Book, Whole","DOI":"10.5040/9781474202213","edition":"1st","ISBN":"9781841136394","language":"English","note":"page: 304p","number-of-pages":"304p","publisher":"Hart Publishing Ltd","publisher-place":"London","title":"Transnational Law and Local Struggles: Mining, Communities and the World Bank","URL":"https://go.exlibris.link/YrYqvvSt","volume":"2","author":[{"family":"Szablowski","given":"David"}],"issued":{"date-parts":[["2007"]]}}}],"schema":"https://github.com/citation-style-language/schema/raw/master/csl-citation.json"} </w:instrText>
            </w:r>
            <w:r w:rsidR="00E35181" w:rsidRPr="00AB0ADE">
              <w:rPr>
                <w:rFonts w:ascii="Calibri" w:hAnsi="Calibri" w:cs="Calibri"/>
                <w:sz w:val="22"/>
                <w:szCs w:val="22"/>
              </w:rPr>
              <w:fldChar w:fldCharType="separate"/>
            </w:r>
            <w:r w:rsidR="00E35181" w:rsidRPr="00AB0ADE">
              <w:rPr>
                <w:rFonts w:ascii="Calibri" w:hAnsi="Calibri" w:cs="Calibri"/>
                <w:sz w:val="22"/>
              </w:rPr>
              <w:t>(Campbell, 2013; Szablowski, 2007)</w:t>
            </w:r>
            <w:r w:rsidR="00E35181" w:rsidRPr="00AB0ADE">
              <w:rPr>
                <w:rFonts w:ascii="Calibri" w:hAnsi="Calibri" w:cs="Calibri"/>
                <w:sz w:val="22"/>
                <w:szCs w:val="22"/>
              </w:rPr>
              <w:fldChar w:fldCharType="end"/>
            </w:r>
          </w:p>
          <w:p w14:paraId="7C0BC11B" w14:textId="65F29C27" w:rsidR="009F2E3A" w:rsidRDefault="005551B8" w:rsidP="00D00695">
            <w:pPr>
              <w:pStyle w:val="BulletPoints"/>
              <w:numPr>
                <w:ilvl w:val="0"/>
                <w:numId w:val="0"/>
              </w:numPr>
              <w:spacing w:after="0"/>
              <w:ind w:firstLine="340"/>
              <w:rPr>
                <w:rFonts w:asciiTheme="minorHAnsi" w:hAnsiTheme="minorHAnsi" w:cstheme="minorHAnsi"/>
                <w:sz w:val="22"/>
                <w:szCs w:val="22"/>
              </w:rPr>
            </w:pPr>
            <w:r>
              <w:rPr>
                <w:rFonts w:asciiTheme="minorHAnsi" w:hAnsiTheme="minorHAnsi" w:cstheme="minorHAnsi"/>
                <w:sz w:val="22"/>
                <w:szCs w:val="22"/>
              </w:rPr>
              <w:t>In a</w:t>
            </w:r>
            <w:r w:rsidR="00B26AE7">
              <w:rPr>
                <w:rFonts w:asciiTheme="minorHAnsi" w:hAnsiTheme="minorHAnsi" w:cstheme="minorHAnsi"/>
                <w:sz w:val="22"/>
                <w:szCs w:val="22"/>
              </w:rPr>
              <w:t xml:space="preserve"> fragile, climate-stressed pastoral ecosystem</w:t>
            </w:r>
            <w:r w:rsidR="00000BAC">
              <w:rPr>
                <w:rFonts w:asciiTheme="minorHAnsi" w:hAnsiTheme="minorHAnsi" w:cstheme="minorHAnsi"/>
                <w:sz w:val="22"/>
                <w:szCs w:val="22"/>
              </w:rPr>
              <w:t xml:space="preserve"> such as Turkana,</w:t>
            </w:r>
            <w:r w:rsidR="004A2108" w:rsidRPr="00EA32D0">
              <w:rPr>
                <w:rFonts w:asciiTheme="minorHAnsi" w:hAnsiTheme="minorHAnsi" w:cstheme="minorHAnsi"/>
                <w:sz w:val="22"/>
                <w:szCs w:val="22"/>
              </w:rPr>
              <w:t xml:space="preserve"> weak monitoring and unclear</w:t>
            </w:r>
            <w:r w:rsidR="00746CD1" w:rsidRPr="00EA32D0">
              <w:rPr>
                <w:rFonts w:asciiTheme="minorHAnsi" w:hAnsiTheme="minorHAnsi" w:cstheme="minorHAnsi"/>
                <w:sz w:val="22"/>
                <w:szCs w:val="22"/>
              </w:rPr>
              <w:t xml:space="preserve"> </w:t>
            </w:r>
            <w:r w:rsidR="00F64436">
              <w:rPr>
                <w:rFonts w:asciiTheme="minorHAnsi" w:hAnsiTheme="minorHAnsi" w:cstheme="minorHAnsi"/>
                <w:sz w:val="22"/>
                <w:szCs w:val="22"/>
              </w:rPr>
              <w:t>accountability</w:t>
            </w:r>
            <w:r w:rsidR="0072147A">
              <w:rPr>
                <w:rFonts w:asciiTheme="minorHAnsi" w:hAnsiTheme="minorHAnsi" w:cstheme="minorHAnsi"/>
                <w:sz w:val="22"/>
                <w:szCs w:val="22"/>
              </w:rPr>
              <w:t xml:space="preserve"> increase livelihood </w:t>
            </w:r>
            <w:r w:rsidR="00C67F2A">
              <w:rPr>
                <w:rFonts w:asciiTheme="minorHAnsi" w:hAnsiTheme="minorHAnsi" w:cstheme="minorHAnsi"/>
                <w:sz w:val="22"/>
                <w:szCs w:val="22"/>
              </w:rPr>
              <w:t xml:space="preserve">vulnerability </w:t>
            </w:r>
            <w:r w:rsidR="00C67F2A" w:rsidRPr="00EA32D0">
              <w:rPr>
                <w:rFonts w:asciiTheme="minorHAnsi" w:hAnsiTheme="minorHAnsi" w:cstheme="minorHAnsi"/>
                <w:sz w:val="22"/>
                <w:szCs w:val="22"/>
              </w:rPr>
              <w:t>and</w:t>
            </w:r>
            <w:r w:rsidR="00A86B01" w:rsidRPr="00EA32D0">
              <w:rPr>
                <w:rFonts w:asciiTheme="minorHAnsi" w:hAnsiTheme="minorHAnsi" w:cstheme="minorHAnsi"/>
                <w:sz w:val="22"/>
                <w:szCs w:val="22"/>
              </w:rPr>
              <w:t xml:space="preserve"> </w:t>
            </w:r>
            <w:r w:rsidR="0055210B" w:rsidRPr="00EA32D0">
              <w:rPr>
                <w:rFonts w:asciiTheme="minorHAnsi" w:hAnsiTheme="minorHAnsi" w:cstheme="minorHAnsi"/>
                <w:sz w:val="22"/>
                <w:szCs w:val="22"/>
              </w:rPr>
              <w:t xml:space="preserve">deepen </w:t>
            </w:r>
            <w:r w:rsidR="00F46FE5" w:rsidRPr="00EA32D0">
              <w:rPr>
                <w:rFonts w:asciiTheme="minorHAnsi" w:hAnsiTheme="minorHAnsi" w:cstheme="minorHAnsi"/>
                <w:sz w:val="22"/>
                <w:szCs w:val="22"/>
              </w:rPr>
              <w:t>mistrust</w:t>
            </w:r>
            <w:r w:rsidR="00A51F6E" w:rsidRPr="00EA32D0">
              <w:rPr>
                <w:rFonts w:asciiTheme="minorHAnsi" w:hAnsiTheme="minorHAnsi" w:cstheme="minorHAnsi"/>
                <w:sz w:val="22"/>
                <w:szCs w:val="22"/>
              </w:rPr>
              <w:t xml:space="preserve"> of oil development</w:t>
            </w:r>
            <w:r w:rsidR="00220B8B" w:rsidRPr="00EA32D0">
              <w:rPr>
                <w:rFonts w:asciiTheme="minorHAnsi" w:hAnsiTheme="minorHAnsi" w:cstheme="minorHAnsi"/>
                <w:sz w:val="22"/>
                <w:szCs w:val="22"/>
              </w:rPr>
              <w:t xml:space="preserve"> </w:t>
            </w:r>
            <w:r w:rsidR="00C67F2A">
              <w:rPr>
                <w:rFonts w:asciiTheme="minorHAnsi" w:hAnsiTheme="minorHAnsi" w:cstheme="minorHAnsi"/>
                <w:sz w:val="22"/>
                <w:szCs w:val="22"/>
              </w:rPr>
              <w:t xml:space="preserve">toward </w:t>
            </w:r>
            <w:r w:rsidR="00A86B01" w:rsidRPr="00EA32D0">
              <w:rPr>
                <w:rFonts w:asciiTheme="minorHAnsi" w:hAnsiTheme="minorHAnsi" w:cstheme="minorHAnsi"/>
                <w:sz w:val="22"/>
                <w:szCs w:val="22"/>
              </w:rPr>
              <w:t>both the state and project developers</w:t>
            </w:r>
            <w:r w:rsidR="003611A8" w:rsidRPr="00EA32D0">
              <w:rPr>
                <w:rFonts w:asciiTheme="minorHAnsi" w:hAnsiTheme="minorHAnsi" w:cstheme="minorHAnsi"/>
                <w:sz w:val="22"/>
                <w:szCs w:val="22"/>
              </w:rPr>
              <w:t>.</w:t>
            </w:r>
          </w:p>
          <w:p w14:paraId="2B765932" w14:textId="77777777" w:rsidR="00F875DD" w:rsidRPr="00EA32D0" w:rsidRDefault="00F875DD" w:rsidP="00D00695">
            <w:pPr>
              <w:pStyle w:val="BulletPoints"/>
              <w:numPr>
                <w:ilvl w:val="0"/>
                <w:numId w:val="0"/>
              </w:numPr>
              <w:spacing w:after="0"/>
              <w:ind w:firstLine="340"/>
              <w:rPr>
                <w:rFonts w:asciiTheme="minorHAnsi" w:hAnsiTheme="minorHAnsi" w:cstheme="minorHAnsi"/>
                <w:b/>
                <w:bCs/>
                <w:iCs/>
                <w:sz w:val="22"/>
                <w:szCs w:val="22"/>
              </w:rPr>
            </w:pPr>
          </w:p>
          <w:p w14:paraId="50B6BACB" w14:textId="7DE44E34" w:rsidR="000240DB" w:rsidRPr="00DA2703" w:rsidRDefault="004F77C4"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t xml:space="preserve">Exclusion </w:t>
            </w:r>
            <w:r w:rsidR="006B0A1F" w:rsidRPr="00C9688A">
              <w:rPr>
                <w:rFonts w:asciiTheme="minorHAnsi" w:hAnsiTheme="minorHAnsi" w:cstheme="minorHAnsi"/>
                <w:color w:val="864EA8" w:themeColor="accent1" w:themeShade="BF"/>
                <w:sz w:val="24"/>
                <w:szCs w:val="24"/>
              </w:rPr>
              <w:t xml:space="preserve">triggered community-led governance responses </w:t>
            </w:r>
          </w:p>
          <w:p w14:paraId="68987D66" w14:textId="09195CF1" w:rsidR="000C50A6" w:rsidRDefault="00AD7DF3" w:rsidP="00C765D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Wh</w:t>
            </w:r>
            <w:r w:rsidR="00917EFD" w:rsidRPr="00EA32D0">
              <w:rPr>
                <w:rFonts w:asciiTheme="minorHAnsi" w:hAnsiTheme="minorHAnsi" w:cstheme="minorHAnsi"/>
                <w:iCs/>
                <w:sz w:val="22"/>
                <w:szCs w:val="22"/>
              </w:rPr>
              <w:t>ere</w:t>
            </w:r>
            <w:r w:rsidRPr="00EA32D0">
              <w:rPr>
                <w:rFonts w:asciiTheme="minorHAnsi" w:hAnsiTheme="minorHAnsi" w:cstheme="minorHAnsi"/>
                <w:iCs/>
                <w:sz w:val="22"/>
                <w:szCs w:val="22"/>
              </w:rPr>
              <w:t xml:space="preserve"> formal </w:t>
            </w:r>
            <w:r w:rsidR="004F2615">
              <w:rPr>
                <w:rFonts w:asciiTheme="minorHAnsi" w:hAnsiTheme="minorHAnsi" w:cstheme="minorHAnsi"/>
                <w:iCs/>
                <w:sz w:val="22"/>
                <w:szCs w:val="22"/>
              </w:rPr>
              <w:t xml:space="preserve">governance </w:t>
            </w:r>
            <w:r w:rsidR="0010211E">
              <w:rPr>
                <w:rFonts w:asciiTheme="minorHAnsi" w:hAnsiTheme="minorHAnsi" w:cstheme="minorHAnsi"/>
                <w:iCs/>
                <w:sz w:val="22"/>
                <w:szCs w:val="22"/>
              </w:rPr>
              <w:t>was</w:t>
            </w:r>
            <w:r w:rsidR="004F2615">
              <w:rPr>
                <w:rFonts w:asciiTheme="minorHAnsi" w:hAnsiTheme="minorHAnsi" w:cstheme="minorHAnsi"/>
                <w:iCs/>
                <w:sz w:val="22"/>
                <w:szCs w:val="22"/>
              </w:rPr>
              <w:t xml:space="preserve"> ineffective</w:t>
            </w:r>
            <w:r w:rsidRPr="00EA32D0">
              <w:rPr>
                <w:rFonts w:asciiTheme="minorHAnsi" w:hAnsiTheme="minorHAnsi" w:cstheme="minorHAnsi"/>
                <w:iCs/>
                <w:sz w:val="22"/>
                <w:szCs w:val="22"/>
              </w:rPr>
              <w:t xml:space="preserve">, </w:t>
            </w:r>
            <w:r w:rsidR="0064001B" w:rsidRPr="00EA32D0">
              <w:rPr>
                <w:rFonts w:asciiTheme="minorHAnsi" w:hAnsiTheme="minorHAnsi" w:cstheme="minorHAnsi"/>
                <w:iCs/>
                <w:sz w:val="22"/>
                <w:szCs w:val="22"/>
              </w:rPr>
              <w:t xml:space="preserve">the Turkana </w:t>
            </w:r>
            <w:r w:rsidRPr="00EA32D0">
              <w:rPr>
                <w:rFonts w:asciiTheme="minorHAnsi" w:hAnsiTheme="minorHAnsi" w:cstheme="minorHAnsi"/>
                <w:iCs/>
                <w:sz w:val="22"/>
                <w:szCs w:val="22"/>
              </w:rPr>
              <w:t>communities organised their own responses</w:t>
            </w:r>
            <w:r w:rsidR="009C7343">
              <w:rPr>
                <w:rFonts w:asciiTheme="minorHAnsi" w:hAnsiTheme="minorHAnsi" w:cstheme="minorHAnsi"/>
                <w:iCs/>
                <w:sz w:val="22"/>
                <w:szCs w:val="22"/>
              </w:rPr>
              <w:t xml:space="preserve">, including </w:t>
            </w:r>
            <w:r w:rsidR="00A102BD" w:rsidRPr="00EA32D0">
              <w:rPr>
                <w:rFonts w:asciiTheme="minorHAnsi" w:hAnsiTheme="minorHAnsi" w:cstheme="minorHAnsi"/>
                <w:iCs/>
                <w:sz w:val="22"/>
                <w:szCs w:val="22"/>
              </w:rPr>
              <w:t>l</w:t>
            </w:r>
            <w:r w:rsidRPr="00EA32D0">
              <w:rPr>
                <w:rFonts w:asciiTheme="minorHAnsi" w:hAnsiTheme="minorHAnsi" w:cstheme="minorHAnsi"/>
                <w:iCs/>
                <w:sz w:val="22"/>
                <w:szCs w:val="22"/>
              </w:rPr>
              <w:t>egal petitions, protests, and the formation of community assemblies</w:t>
            </w:r>
            <w:r w:rsidR="00AD7653" w:rsidRPr="00EA32D0">
              <w:rPr>
                <w:rFonts w:asciiTheme="minorHAnsi" w:hAnsiTheme="minorHAnsi" w:cstheme="minorHAnsi"/>
                <w:iCs/>
                <w:sz w:val="22"/>
                <w:szCs w:val="22"/>
              </w:rPr>
              <w:t xml:space="preserve"> such as </w:t>
            </w:r>
            <w:proofErr w:type="spellStart"/>
            <w:r w:rsidR="00AD7653" w:rsidRPr="00EA32D0">
              <w:rPr>
                <w:rFonts w:asciiTheme="minorHAnsi" w:hAnsiTheme="minorHAnsi" w:cstheme="minorHAnsi"/>
                <w:iCs/>
                <w:sz w:val="22"/>
                <w:szCs w:val="22"/>
              </w:rPr>
              <w:t>Esanyanait</w:t>
            </w:r>
            <w:proofErr w:type="spellEnd"/>
            <w:r w:rsidR="00AD7653" w:rsidRPr="00EA32D0">
              <w:rPr>
                <w:rFonts w:asciiTheme="minorHAnsi" w:hAnsiTheme="minorHAnsi" w:cstheme="minorHAnsi"/>
                <w:iCs/>
                <w:sz w:val="22"/>
                <w:szCs w:val="22"/>
              </w:rPr>
              <w:t xml:space="preserve">, </w:t>
            </w:r>
            <w:proofErr w:type="spellStart"/>
            <w:r w:rsidR="00AD7653" w:rsidRPr="00EA32D0">
              <w:rPr>
                <w:rFonts w:asciiTheme="minorHAnsi" w:hAnsiTheme="minorHAnsi" w:cstheme="minorHAnsi"/>
                <w:iCs/>
                <w:sz w:val="22"/>
                <w:szCs w:val="22"/>
              </w:rPr>
              <w:t>Ekalale</w:t>
            </w:r>
            <w:proofErr w:type="spellEnd"/>
            <w:r w:rsidR="00AD7653" w:rsidRPr="00EA32D0">
              <w:rPr>
                <w:rFonts w:asciiTheme="minorHAnsi" w:hAnsiTheme="minorHAnsi" w:cstheme="minorHAnsi"/>
                <w:iCs/>
                <w:sz w:val="22"/>
                <w:szCs w:val="22"/>
              </w:rPr>
              <w:t xml:space="preserve">, and </w:t>
            </w:r>
            <w:proofErr w:type="spellStart"/>
            <w:r w:rsidR="00AD7653" w:rsidRPr="00EA32D0">
              <w:rPr>
                <w:rFonts w:asciiTheme="minorHAnsi" w:hAnsiTheme="minorHAnsi" w:cstheme="minorHAnsi"/>
                <w:iCs/>
                <w:sz w:val="22"/>
                <w:szCs w:val="22"/>
              </w:rPr>
              <w:t>Nawiyokori</w:t>
            </w:r>
            <w:proofErr w:type="spellEnd"/>
            <w:r w:rsidR="00AD7653" w:rsidRPr="00EA32D0">
              <w:rPr>
                <w:rFonts w:asciiTheme="minorHAnsi" w:hAnsiTheme="minorHAnsi" w:cstheme="minorHAnsi"/>
                <w:iCs/>
                <w:sz w:val="22"/>
                <w:szCs w:val="22"/>
              </w:rPr>
              <w:t>.</w:t>
            </w:r>
            <w:r w:rsidR="000C178A" w:rsidRPr="00EA32D0">
              <w:rPr>
                <w:rFonts w:asciiTheme="minorHAnsi" w:hAnsiTheme="minorHAnsi" w:cstheme="minorHAnsi"/>
                <w:iCs/>
                <w:sz w:val="22"/>
                <w:szCs w:val="22"/>
              </w:rPr>
              <w:t xml:space="preserve"> </w:t>
            </w:r>
            <w:r w:rsidRPr="00EA32D0">
              <w:rPr>
                <w:rFonts w:asciiTheme="minorHAnsi" w:hAnsiTheme="minorHAnsi" w:cstheme="minorHAnsi"/>
                <w:iCs/>
                <w:sz w:val="22"/>
                <w:szCs w:val="22"/>
              </w:rPr>
              <w:t>The</w:t>
            </w:r>
            <w:r w:rsidR="00330A8D" w:rsidRPr="00EA32D0">
              <w:rPr>
                <w:rFonts w:asciiTheme="minorHAnsi" w:hAnsiTheme="minorHAnsi" w:cstheme="minorHAnsi"/>
                <w:iCs/>
                <w:sz w:val="22"/>
                <w:szCs w:val="22"/>
              </w:rPr>
              <w:t xml:space="preserve">se </w:t>
            </w:r>
            <w:r w:rsidR="009B1CD5">
              <w:rPr>
                <w:rFonts w:asciiTheme="minorHAnsi" w:hAnsiTheme="minorHAnsi" w:cstheme="minorHAnsi"/>
                <w:iCs/>
                <w:sz w:val="22"/>
                <w:szCs w:val="22"/>
              </w:rPr>
              <w:t xml:space="preserve">are locally </w:t>
            </w:r>
            <w:r w:rsidR="00D16F28">
              <w:rPr>
                <w:rFonts w:asciiTheme="minorHAnsi" w:hAnsiTheme="minorHAnsi" w:cstheme="minorHAnsi"/>
                <w:iCs/>
                <w:sz w:val="22"/>
                <w:szCs w:val="22"/>
              </w:rPr>
              <w:t xml:space="preserve">rooted forums </w:t>
            </w:r>
            <w:r w:rsidR="00D63EDF" w:rsidRPr="00EA32D0">
              <w:rPr>
                <w:rFonts w:asciiTheme="minorHAnsi" w:hAnsiTheme="minorHAnsi" w:cstheme="minorHAnsi"/>
                <w:iCs/>
                <w:sz w:val="22"/>
                <w:szCs w:val="22"/>
              </w:rPr>
              <w:t>embe</w:t>
            </w:r>
            <w:r w:rsidR="009C7343">
              <w:rPr>
                <w:rFonts w:asciiTheme="minorHAnsi" w:hAnsiTheme="minorHAnsi" w:cstheme="minorHAnsi"/>
                <w:iCs/>
                <w:sz w:val="22"/>
                <w:szCs w:val="22"/>
              </w:rPr>
              <w:t>d</w:t>
            </w:r>
            <w:r w:rsidR="00D63EDF" w:rsidRPr="00EA32D0">
              <w:rPr>
                <w:rFonts w:asciiTheme="minorHAnsi" w:hAnsiTheme="minorHAnsi" w:cstheme="minorHAnsi"/>
                <w:iCs/>
                <w:sz w:val="22"/>
                <w:szCs w:val="22"/>
              </w:rPr>
              <w:t>ded</w:t>
            </w:r>
            <w:r w:rsidRPr="00EA32D0">
              <w:rPr>
                <w:rFonts w:asciiTheme="minorHAnsi" w:hAnsiTheme="minorHAnsi" w:cstheme="minorHAnsi"/>
                <w:iCs/>
                <w:sz w:val="22"/>
                <w:szCs w:val="22"/>
              </w:rPr>
              <w:t xml:space="preserve"> in customary governance systems</w:t>
            </w:r>
            <w:r w:rsidR="00111586">
              <w:rPr>
                <w:rFonts w:asciiTheme="minorHAnsi" w:hAnsiTheme="minorHAnsi" w:cstheme="minorHAnsi"/>
                <w:iCs/>
                <w:sz w:val="22"/>
                <w:szCs w:val="22"/>
              </w:rPr>
              <w:t>, used by affected Turkana communities</w:t>
            </w:r>
            <w:r w:rsidR="007435EA">
              <w:rPr>
                <w:rFonts w:asciiTheme="minorHAnsi" w:hAnsiTheme="minorHAnsi" w:cstheme="minorHAnsi"/>
                <w:iCs/>
                <w:sz w:val="22"/>
                <w:szCs w:val="22"/>
              </w:rPr>
              <w:t xml:space="preserve"> ―</w:t>
            </w:r>
            <w:r w:rsidR="00C6576E">
              <w:rPr>
                <w:rFonts w:asciiTheme="minorHAnsi" w:hAnsiTheme="minorHAnsi" w:cstheme="minorHAnsi"/>
                <w:iCs/>
                <w:sz w:val="22"/>
                <w:szCs w:val="22"/>
              </w:rPr>
              <w:t xml:space="preserve"> </w:t>
            </w:r>
            <w:r w:rsidR="007435EA">
              <w:rPr>
                <w:rFonts w:asciiTheme="minorHAnsi" w:hAnsiTheme="minorHAnsi" w:cstheme="minorHAnsi"/>
                <w:iCs/>
                <w:sz w:val="22"/>
                <w:szCs w:val="22"/>
              </w:rPr>
              <w:t xml:space="preserve">often </w:t>
            </w:r>
            <w:r w:rsidRPr="00EA32D0">
              <w:rPr>
                <w:rFonts w:asciiTheme="minorHAnsi" w:hAnsiTheme="minorHAnsi" w:cstheme="minorHAnsi"/>
                <w:iCs/>
                <w:sz w:val="22"/>
                <w:szCs w:val="22"/>
              </w:rPr>
              <w:t xml:space="preserve">supported by civil society </w:t>
            </w:r>
            <w:r w:rsidR="00FC643A">
              <w:rPr>
                <w:rFonts w:asciiTheme="minorHAnsi" w:hAnsiTheme="minorHAnsi" w:cstheme="minorHAnsi"/>
                <w:iCs/>
                <w:sz w:val="22"/>
                <w:szCs w:val="22"/>
              </w:rPr>
              <w:t>―</w:t>
            </w:r>
            <w:r w:rsidR="00C6576E">
              <w:rPr>
                <w:rFonts w:asciiTheme="minorHAnsi" w:hAnsiTheme="minorHAnsi" w:cstheme="minorHAnsi"/>
                <w:iCs/>
                <w:sz w:val="22"/>
                <w:szCs w:val="22"/>
              </w:rPr>
              <w:t xml:space="preserve"> </w:t>
            </w:r>
            <w:r w:rsidR="008625DE">
              <w:rPr>
                <w:rFonts w:asciiTheme="minorHAnsi" w:hAnsiTheme="minorHAnsi" w:cstheme="minorHAnsi"/>
                <w:iCs/>
                <w:sz w:val="22"/>
                <w:szCs w:val="22"/>
              </w:rPr>
              <w:t xml:space="preserve">to coordinate </w:t>
            </w:r>
            <w:r w:rsidR="000513CD">
              <w:rPr>
                <w:rFonts w:asciiTheme="minorHAnsi" w:hAnsiTheme="minorHAnsi" w:cstheme="minorHAnsi"/>
                <w:iCs/>
                <w:sz w:val="22"/>
                <w:szCs w:val="22"/>
              </w:rPr>
              <w:t>community positions</w:t>
            </w:r>
            <w:r w:rsidR="00A97A8E">
              <w:rPr>
                <w:rFonts w:asciiTheme="minorHAnsi" w:hAnsiTheme="minorHAnsi" w:cstheme="minorHAnsi"/>
                <w:iCs/>
                <w:sz w:val="22"/>
                <w:szCs w:val="22"/>
              </w:rPr>
              <w:t>, monitor project issues and engage government</w:t>
            </w:r>
            <w:r w:rsidR="00455D64">
              <w:rPr>
                <w:rFonts w:asciiTheme="minorHAnsi" w:hAnsiTheme="minorHAnsi" w:cstheme="minorHAnsi"/>
                <w:iCs/>
                <w:sz w:val="22"/>
                <w:szCs w:val="22"/>
              </w:rPr>
              <w:t xml:space="preserve"> or company actors on issues relating to land</w:t>
            </w:r>
            <w:r w:rsidR="00D10496">
              <w:rPr>
                <w:rFonts w:asciiTheme="minorHAnsi" w:hAnsiTheme="minorHAnsi" w:cstheme="minorHAnsi"/>
                <w:iCs/>
                <w:sz w:val="22"/>
                <w:szCs w:val="22"/>
              </w:rPr>
              <w:t xml:space="preserve">, </w:t>
            </w:r>
            <w:r w:rsidR="00D10496">
              <w:rPr>
                <w:rFonts w:asciiTheme="minorHAnsi" w:hAnsiTheme="minorHAnsi" w:cstheme="minorHAnsi"/>
                <w:iCs/>
                <w:sz w:val="22"/>
                <w:szCs w:val="22"/>
              </w:rPr>
              <w:lastRenderedPageBreak/>
              <w:t>compensation</w:t>
            </w:r>
            <w:r w:rsidR="00383B62">
              <w:rPr>
                <w:rFonts w:asciiTheme="minorHAnsi" w:hAnsiTheme="minorHAnsi" w:cstheme="minorHAnsi"/>
                <w:iCs/>
                <w:sz w:val="22"/>
                <w:szCs w:val="22"/>
              </w:rPr>
              <w:t xml:space="preserve"> and accountability</w:t>
            </w:r>
            <w:r w:rsidR="008D7D17">
              <w:rPr>
                <w:rFonts w:asciiTheme="minorHAnsi" w:hAnsiTheme="minorHAnsi" w:cstheme="minorHAnsi"/>
                <w:iCs/>
                <w:sz w:val="22"/>
                <w:szCs w:val="22"/>
              </w:rPr>
              <w:t>,</w:t>
            </w:r>
            <w:r w:rsidR="00383B62">
              <w:rPr>
                <w:rFonts w:asciiTheme="minorHAnsi" w:hAnsiTheme="minorHAnsi" w:cstheme="minorHAnsi"/>
                <w:iCs/>
                <w:sz w:val="22"/>
                <w:szCs w:val="22"/>
              </w:rPr>
              <w:t xml:space="preserve"> especially </w:t>
            </w:r>
            <w:r w:rsidR="00731107">
              <w:rPr>
                <w:rFonts w:asciiTheme="minorHAnsi" w:hAnsiTheme="minorHAnsi" w:cstheme="minorHAnsi"/>
                <w:iCs/>
                <w:sz w:val="22"/>
                <w:szCs w:val="22"/>
              </w:rPr>
              <w:t>in relation to oil projects</w:t>
            </w:r>
            <w:r w:rsidR="001170AA" w:rsidRPr="00EA32D0">
              <w:rPr>
                <w:rFonts w:asciiTheme="minorHAnsi" w:hAnsiTheme="minorHAnsi" w:cstheme="minorHAnsi"/>
                <w:iCs/>
                <w:sz w:val="22"/>
                <w:szCs w:val="22"/>
              </w:rPr>
              <w:t xml:space="preserve">. </w:t>
            </w:r>
            <w:r w:rsidR="00EA47D1">
              <w:rPr>
                <w:rFonts w:asciiTheme="minorHAnsi" w:hAnsiTheme="minorHAnsi" w:cstheme="minorHAnsi"/>
                <w:iCs/>
                <w:sz w:val="22"/>
                <w:szCs w:val="22"/>
              </w:rPr>
              <w:t xml:space="preserve">Field interviews reveal that these </w:t>
            </w:r>
            <w:r w:rsidR="00B87CD1">
              <w:rPr>
                <w:rFonts w:asciiTheme="minorHAnsi" w:hAnsiTheme="minorHAnsi" w:cstheme="minorHAnsi"/>
                <w:iCs/>
                <w:sz w:val="22"/>
                <w:szCs w:val="22"/>
              </w:rPr>
              <w:t>community assemblies emerged after</w:t>
            </w:r>
            <w:r w:rsidR="00E16678">
              <w:rPr>
                <w:rFonts w:asciiTheme="minorHAnsi" w:hAnsiTheme="minorHAnsi" w:cstheme="minorHAnsi"/>
                <w:iCs/>
                <w:sz w:val="22"/>
                <w:szCs w:val="22"/>
              </w:rPr>
              <w:t xml:space="preserve"> </w:t>
            </w:r>
            <w:r w:rsidR="003D77FA">
              <w:rPr>
                <w:rFonts w:asciiTheme="minorHAnsi" w:hAnsiTheme="minorHAnsi" w:cstheme="minorHAnsi"/>
                <w:iCs/>
                <w:sz w:val="22"/>
                <w:szCs w:val="22"/>
              </w:rPr>
              <w:t>Kenya’s</w:t>
            </w:r>
            <w:r w:rsidR="00E16678">
              <w:rPr>
                <w:rFonts w:asciiTheme="minorHAnsi" w:hAnsiTheme="minorHAnsi" w:cstheme="minorHAnsi"/>
                <w:iCs/>
                <w:sz w:val="22"/>
                <w:szCs w:val="22"/>
              </w:rPr>
              <w:t xml:space="preserve"> early oil pilot project</w:t>
            </w:r>
            <w:r w:rsidR="00A469EE">
              <w:rPr>
                <w:rFonts w:asciiTheme="minorHAnsi" w:hAnsiTheme="minorHAnsi" w:cstheme="minorHAnsi"/>
                <w:iCs/>
                <w:sz w:val="22"/>
                <w:szCs w:val="22"/>
              </w:rPr>
              <w:t xml:space="preserve"> of 201</w:t>
            </w:r>
            <w:r w:rsidR="00664597">
              <w:rPr>
                <w:rFonts w:asciiTheme="minorHAnsi" w:hAnsiTheme="minorHAnsi" w:cstheme="minorHAnsi"/>
                <w:iCs/>
                <w:sz w:val="22"/>
                <w:szCs w:val="22"/>
              </w:rPr>
              <w:t>8</w:t>
            </w:r>
            <w:r w:rsidR="008D7D17">
              <w:rPr>
                <w:rFonts w:asciiTheme="minorHAnsi" w:hAnsiTheme="minorHAnsi" w:cstheme="minorHAnsi"/>
                <w:iCs/>
                <w:sz w:val="22"/>
                <w:szCs w:val="22"/>
              </w:rPr>
              <w:t>,</w:t>
            </w:r>
            <w:r w:rsidR="00A469EE">
              <w:rPr>
                <w:rFonts w:asciiTheme="minorHAnsi" w:hAnsiTheme="minorHAnsi" w:cstheme="minorHAnsi"/>
                <w:iCs/>
                <w:sz w:val="22"/>
                <w:szCs w:val="22"/>
              </w:rPr>
              <w:t xml:space="preserve"> and </w:t>
            </w:r>
            <w:r w:rsidR="005861FD">
              <w:rPr>
                <w:rFonts w:asciiTheme="minorHAnsi" w:hAnsiTheme="minorHAnsi" w:cstheme="minorHAnsi"/>
                <w:iCs/>
                <w:sz w:val="22"/>
                <w:szCs w:val="22"/>
              </w:rPr>
              <w:t>issues emerged as to benefit sharing. One community assembly representative noted that</w:t>
            </w:r>
            <w:r w:rsidR="00241A9A">
              <w:rPr>
                <w:rFonts w:asciiTheme="minorHAnsi" w:hAnsiTheme="minorHAnsi" w:cstheme="minorHAnsi"/>
                <w:iCs/>
                <w:sz w:val="22"/>
                <w:szCs w:val="22"/>
              </w:rPr>
              <w:t>:</w:t>
            </w:r>
          </w:p>
          <w:p w14:paraId="155601D4" w14:textId="2823ABFF" w:rsidR="00513B90" w:rsidRDefault="00513B90" w:rsidP="003C30B0">
            <w:pPr>
              <w:pStyle w:val="BulletPoints"/>
              <w:numPr>
                <w:ilvl w:val="0"/>
                <w:numId w:val="0"/>
              </w:numPr>
              <w:spacing w:before="120" w:after="60"/>
              <w:ind w:left="245"/>
              <w:rPr>
                <w:rFonts w:asciiTheme="minorHAnsi" w:hAnsiTheme="minorHAnsi" w:cstheme="minorHAnsi"/>
                <w:i/>
                <w:sz w:val="22"/>
                <w:szCs w:val="22"/>
              </w:rPr>
            </w:pPr>
            <w:r w:rsidRPr="00D64975">
              <w:rPr>
                <w:rFonts w:asciiTheme="minorHAnsi" w:hAnsiTheme="minorHAnsi" w:cstheme="minorHAnsi"/>
                <w:i/>
                <w:sz w:val="22"/>
                <w:szCs w:val="22"/>
              </w:rPr>
              <w:t>We created</w:t>
            </w:r>
            <w:r w:rsidR="008219B3" w:rsidRPr="00D64975">
              <w:rPr>
                <w:rFonts w:asciiTheme="minorHAnsi" w:hAnsiTheme="minorHAnsi" w:cstheme="minorHAnsi"/>
                <w:i/>
                <w:sz w:val="22"/>
                <w:szCs w:val="22"/>
              </w:rPr>
              <w:t xml:space="preserve"> our own assemblies because we were tired of politicians speaking for us. Now we meet</w:t>
            </w:r>
            <w:r w:rsidR="00D64975" w:rsidRPr="00D64975">
              <w:rPr>
                <w:rFonts w:asciiTheme="minorHAnsi" w:hAnsiTheme="minorHAnsi" w:cstheme="minorHAnsi"/>
                <w:i/>
                <w:sz w:val="22"/>
                <w:szCs w:val="22"/>
              </w:rPr>
              <w:t xml:space="preserve">, </w:t>
            </w:r>
            <w:proofErr w:type="spellStart"/>
            <w:r w:rsidR="00D64975" w:rsidRPr="00D64975">
              <w:rPr>
                <w:rFonts w:asciiTheme="minorHAnsi" w:hAnsiTheme="minorHAnsi" w:cstheme="minorHAnsi"/>
                <w:i/>
                <w:sz w:val="22"/>
                <w:szCs w:val="22"/>
              </w:rPr>
              <w:t>strategi</w:t>
            </w:r>
            <w:r w:rsidR="008D7D17">
              <w:rPr>
                <w:rFonts w:asciiTheme="minorHAnsi" w:hAnsiTheme="minorHAnsi" w:cstheme="minorHAnsi"/>
                <w:i/>
                <w:sz w:val="22"/>
                <w:szCs w:val="22"/>
              </w:rPr>
              <w:t>s</w:t>
            </w:r>
            <w:r w:rsidR="00D64975" w:rsidRPr="00D64975">
              <w:rPr>
                <w:rFonts w:asciiTheme="minorHAnsi" w:hAnsiTheme="minorHAnsi" w:cstheme="minorHAnsi"/>
                <w:i/>
                <w:sz w:val="22"/>
                <w:szCs w:val="22"/>
              </w:rPr>
              <w:t>e</w:t>
            </w:r>
            <w:proofErr w:type="spellEnd"/>
            <w:r w:rsidR="00D64975" w:rsidRPr="00D64975">
              <w:rPr>
                <w:rFonts w:asciiTheme="minorHAnsi" w:hAnsiTheme="minorHAnsi" w:cstheme="minorHAnsi"/>
                <w:i/>
                <w:sz w:val="22"/>
                <w:szCs w:val="22"/>
              </w:rPr>
              <w:t xml:space="preserve"> and decide what to demand.</w:t>
            </w:r>
          </w:p>
          <w:p w14:paraId="53642954" w14:textId="77777777" w:rsidR="00F875DD" w:rsidRDefault="00487E3A" w:rsidP="00D64975">
            <w:pPr>
              <w:pStyle w:val="BulletPoints"/>
              <w:numPr>
                <w:ilvl w:val="0"/>
                <w:numId w:val="0"/>
              </w:numPr>
              <w:spacing w:after="0"/>
              <w:ind w:left="340" w:firstLine="340"/>
              <w:jc w:val="right"/>
              <w:rPr>
                <w:rFonts w:asciiTheme="minorHAnsi" w:hAnsiTheme="minorHAnsi" w:cstheme="minorHAnsi"/>
                <w:iCs/>
                <w:sz w:val="22"/>
                <w:szCs w:val="22"/>
              </w:rPr>
            </w:pPr>
            <w:r>
              <w:rPr>
                <w:rFonts w:asciiTheme="minorHAnsi" w:hAnsiTheme="minorHAnsi" w:cstheme="minorHAnsi"/>
                <w:iCs/>
                <w:sz w:val="22"/>
                <w:szCs w:val="22"/>
              </w:rPr>
              <w:t>Community Assembly Representative,</w:t>
            </w:r>
          </w:p>
          <w:p w14:paraId="6BF08C96" w14:textId="69CC0838" w:rsidR="00D64975" w:rsidRPr="00D64975" w:rsidRDefault="00F875DD" w:rsidP="00D64975">
            <w:pPr>
              <w:pStyle w:val="BulletPoints"/>
              <w:numPr>
                <w:ilvl w:val="0"/>
                <w:numId w:val="0"/>
              </w:numPr>
              <w:spacing w:after="0"/>
              <w:ind w:left="340" w:firstLine="340"/>
              <w:jc w:val="right"/>
              <w:rPr>
                <w:rFonts w:asciiTheme="minorHAnsi" w:hAnsiTheme="minorHAnsi" w:cstheme="minorHAnsi"/>
                <w:iCs/>
                <w:sz w:val="22"/>
                <w:szCs w:val="22"/>
              </w:rPr>
            </w:pPr>
            <w:r>
              <w:rPr>
                <w:rFonts w:asciiTheme="minorHAnsi" w:hAnsiTheme="minorHAnsi" w:cstheme="minorHAnsi"/>
                <w:iCs/>
                <w:sz w:val="22"/>
                <w:szCs w:val="22"/>
              </w:rPr>
              <w:t>Turkana County (August 2024)</w:t>
            </w:r>
          </w:p>
          <w:p w14:paraId="1A5B0866" w14:textId="77777777" w:rsidR="00731107" w:rsidRPr="00EA32D0" w:rsidRDefault="00731107" w:rsidP="00731107">
            <w:pPr>
              <w:pStyle w:val="BulletPoints"/>
              <w:numPr>
                <w:ilvl w:val="0"/>
                <w:numId w:val="0"/>
              </w:numPr>
              <w:spacing w:after="0"/>
              <w:ind w:left="340" w:firstLine="340"/>
              <w:rPr>
                <w:rFonts w:asciiTheme="minorHAnsi" w:hAnsiTheme="minorHAnsi" w:cstheme="minorHAnsi"/>
                <w:iCs/>
                <w:sz w:val="22"/>
                <w:szCs w:val="22"/>
              </w:rPr>
            </w:pPr>
          </w:p>
          <w:p w14:paraId="05D72383" w14:textId="35DD984F" w:rsidR="009C7343" w:rsidRDefault="001170AA" w:rsidP="00C765D0">
            <w:pPr>
              <w:pStyle w:val="BulletPoints"/>
              <w:numPr>
                <w:ilvl w:val="0"/>
                <w:numId w:val="0"/>
              </w:numPr>
              <w:spacing w:after="0"/>
              <w:rPr>
                <w:rFonts w:asciiTheme="minorHAnsi" w:hAnsiTheme="minorHAnsi" w:cstheme="minorHAnsi"/>
                <w:iCs/>
                <w:sz w:val="22"/>
                <w:szCs w:val="22"/>
              </w:rPr>
            </w:pPr>
            <w:r w:rsidRPr="00EA32D0">
              <w:rPr>
                <w:rFonts w:asciiTheme="minorHAnsi" w:hAnsiTheme="minorHAnsi" w:cstheme="minorHAnsi"/>
                <w:iCs/>
                <w:sz w:val="22"/>
                <w:szCs w:val="22"/>
              </w:rPr>
              <w:t>Th</w:t>
            </w:r>
            <w:r w:rsidR="009C7343">
              <w:rPr>
                <w:rFonts w:asciiTheme="minorHAnsi" w:hAnsiTheme="minorHAnsi" w:cstheme="minorHAnsi"/>
                <w:iCs/>
                <w:sz w:val="22"/>
                <w:szCs w:val="22"/>
              </w:rPr>
              <w:t>ese</w:t>
            </w:r>
            <w:r w:rsidRPr="00EA32D0">
              <w:rPr>
                <w:rFonts w:asciiTheme="minorHAnsi" w:hAnsiTheme="minorHAnsi" w:cstheme="minorHAnsi"/>
                <w:iCs/>
                <w:sz w:val="22"/>
                <w:szCs w:val="22"/>
              </w:rPr>
              <w:t xml:space="preserve"> </w:t>
            </w:r>
            <w:r w:rsidR="009C7343">
              <w:rPr>
                <w:rFonts w:asciiTheme="minorHAnsi" w:hAnsiTheme="minorHAnsi" w:cstheme="minorHAnsi"/>
                <w:iCs/>
                <w:sz w:val="22"/>
                <w:szCs w:val="22"/>
              </w:rPr>
              <w:t xml:space="preserve">local </w:t>
            </w:r>
            <w:r w:rsidR="00AD7DF3" w:rsidRPr="00EA32D0">
              <w:rPr>
                <w:rFonts w:asciiTheme="minorHAnsi" w:hAnsiTheme="minorHAnsi" w:cstheme="minorHAnsi"/>
                <w:iCs/>
                <w:sz w:val="22"/>
                <w:szCs w:val="22"/>
              </w:rPr>
              <w:t xml:space="preserve">mobilisation </w:t>
            </w:r>
            <w:r w:rsidR="009C7343">
              <w:rPr>
                <w:rFonts w:asciiTheme="minorHAnsi" w:hAnsiTheme="minorHAnsi" w:cstheme="minorHAnsi"/>
                <w:iCs/>
                <w:sz w:val="22"/>
                <w:szCs w:val="22"/>
              </w:rPr>
              <w:t>efforts</w:t>
            </w:r>
            <w:r w:rsidR="00AD7DF3" w:rsidRPr="00EA32D0">
              <w:rPr>
                <w:rFonts w:asciiTheme="minorHAnsi" w:hAnsiTheme="minorHAnsi" w:cstheme="minorHAnsi"/>
                <w:iCs/>
                <w:sz w:val="22"/>
                <w:szCs w:val="22"/>
              </w:rPr>
              <w:t xml:space="preserve"> contributed to community land registration and </w:t>
            </w:r>
            <w:r w:rsidR="000C50A6" w:rsidRPr="00EA32D0">
              <w:rPr>
                <w:rFonts w:asciiTheme="minorHAnsi" w:hAnsiTheme="minorHAnsi" w:cstheme="minorHAnsi"/>
                <w:iCs/>
                <w:sz w:val="22"/>
                <w:szCs w:val="22"/>
              </w:rPr>
              <w:t>issuance of titles</w:t>
            </w:r>
            <w:r w:rsidRPr="00EA32D0">
              <w:rPr>
                <w:rFonts w:asciiTheme="minorHAnsi" w:hAnsiTheme="minorHAnsi" w:cstheme="minorHAnsi"/>
                <w:iCs/>
                <w:sz w:val="22"/>
                <w:szCs w:val="22"/>
              </w:rPr>
              <w:t xml:space="preserve"> in areas such as </w:t>
            </w:r>
            <w:proofErr w:type="spellStart"/>
            <w:r w:rsidRPr="00EA32D0">
              <w:rPr>
                <w:rFonts w:asciiTheme="minorHAnsi" w:hAnsiTheme="minorHAnsi" w:cstheme="minorHAnsi"/>
                <w:iCs/>
                <w:sz w:val="22"/>
                <w:szCs w:val="22"/>
              </w:rPr>
              <w:t>Nakukulas</w:t>
            </w:r>
            <w:proofErr w:type="spellEnd"/>
            <w:r w:rsidRPr="00EA32D0">
              <w:rPr>
                <w:rFonts w:asciiTheme="minorHAnsi" w:hAnsiTheme="minorHAnsi" w:cstheme="minorHAnsi"/>
                <w:iCs/>
                <w:sz w:val="22"/>
                <w:szCs w:val="22"/>
              </w:rPr>
              <w:t xml:space="preserve">, </w:t>
            </w:r>
            <w:proofErr w:type="spellStart"/>
            <w:r w:rsidRPr="00EA32D0">
              <w:rPr>
                <w:rFonts w:asciiTheme="minorHAnsi" w:hAnsiTheme="minorHAnsi" w:cstheme="minorHAnsi"/>
                <w:iCs/>
                <w:sz w:val="22"/>
                <w:szCs w:val="22"/>
              </w:rPr>
              <w:t>Lokichar</w:t>
            </w:r>
            <w:proofErr w:type="spellEnd"/>
            <w:r w:rsidR="00797639">
              <w:rPr>
                <w:rFonts w:asciiTheme="minorHAnsi" w:hAnsiTheme="minorHAnsi" w:cstheme="minorHAnsi"/>
                <w:iCs/>
                <w:sz w:val="22"/>
                <w:szCs w:val="22"/>
              </w:rPr>
              <w:t xml:space="preserve"> </w:t>
            </w:r>
            <w:r w:rsidRPr="00EA32D0">
              <w:rPr>
                <w:rFonts w:asciiTheme="minorHAnsi" w:hAnsiTheme="minorHAnsi" w:cstheme="minorHAnsi"/>
                <w:iCs/>
                <w:sz w:val="22"/>
                <w:szCs w:val="22"/>
              </w:rPr>
              <w:t>and Kapese</w:t>
            </w:r>
            <w:r w:rsidR="001629A3">
              <w:rPr>
                <w:rFonts w:asciiTheme="minorHAnsi" w:hAnsiTheme="minorHAnsi" w:cstheme="minorHAnsi"/>
                <w:iCs/>
                <w:sz w:val="22"/>
                <w:szCs w:val="22"/>
              </w:rPr>
              <w:t xml:space="preserve"> </w:t>
            </w:r>
            <w:r w:rsidR="00B17DA3">
              <w:rPr>
                <w:rFonts w:asciiTheme="minorHAnsi" w:hAnsiTheme="minorHAnsi" w:cstheme="minorHAnsi"/>
                <w:iCs/>
                <w:sz w:val="22"/>
                <w:szCs w:val="22"/>
              </w:rPr>
              <w:t>in</w:t>
            </w:r>
            <w:r w:rsidRPr="00EA32D0">
              <w:rPr>
                <w:rFonts w:asciiTheme="minorHAnsi" w:hAnsiTheme="minorHAnsi" w:cstheme="minorHAnsi"/>
                <w:iCs/>
                <w:sz w:val="22"/>
                <w:szCs w:val="22"/>
              </w:rPr>
              <w:t xml:space="preserve"> 2024 and 2025.</w:t>
            </w:r>
            <w:r w:rsidR="004633A4" w:rsidRPr="00EA32D0">
              <w:rPr>
                <w:rFonts w:asciiTheme="minorHAnsi" w:hAnsiTheme="minorHAnsi" w:cstheme="minorHAnsi"/>
                <w:iCs/>
                <w:sz w:val="22"/>
                <w:szCs w:val="22"/>
              </w:rPr>
              <w:t xml:space="preserve"> </w:t>
            </w:r>
          </w:p>
          <w:p w14:paraId="674DAD6C" w14:textId="35823CAE" w:rsidR="007409F5" w:rsidRDefault="005A105C" w:rsidP="00D00695">
            <w:pPr>
              <w:pStyle w:val="BulletPoints"/>
              <w:numPr>
                <w:ilvl w:val="0"/>
                <w:numId w:val="0"/>
              </w:numPr>
              <w:spacing w:after="0"/>
              <w:ind w:firstLine="340"/>
              <w:rPr>
                <w:rFonts w:ascii="Calibri" w:hAnsi="Calibri" w:cs="Calibri"/>
                <w:iCs/>
                <w:sz w:val="22"/>
                <w:szCs w:val="22"/>
              </w:rPr>
            </w:pPr>
            <w:r w:rsidRPr="00EA32D0">
              <w:rPr>
                <w:rFonts w:asciiTheme="minorHAnsi" w:hAnsiTheme="minorHAnsi" w:cstheme="minorHAnsi"/>
                <w:iCs/>
                <w:sz w:val="22"/>
                <w:szCs w:val="22"/>
              </w:rPr>
              <w:t xml:space="preserve">Turkana </w:t>
            </w:r>
            <w:r w:rsidR="00D90D62" w:rsidRPr="00EA32D0">
              <w:rPr>
                <w:rFonts w:asciiTheme="minorHAnsi" w:hAnsiTheme="minorHAnsi" w:cstheme="minorHAnsi"/>
                <w:iCs/>
                <w:sz w:val="22"/>
                <w:szCs w:val="22"/>
              </w:rPr>
              <w:t xml:space="preserve">communities </w:t>
            </w:r>
            <w:r w:rsidR="008401F8" w:rsidRPr="00EA32D0">
              <w:rPr>
                <w:rFonts w:asciiTheme="minorHAnsi" w:hAnsiTheme="minorHAnsi" w:cstheme="minorHAnsi"/>
                <w:iCs/>
                <w:sz w:val="22"/>
                <w:szCs w:val="22"/>
              </w:rPr>
              <w:t>are</w:t>
            </w:r>
            <w:r w:rsidR="00894772" w:rsidRPr="00EA32D0">
              <w:rPr>
                <w:rFonts w:asciiTheme="minorHAnsi" w:hAnsiTheme="minorHAnsi" w:cstheme="minorHAnsi"/>
                <w:iCs/>
                <w:sz w:val="22"/>
                <w:szCs w:val="22"/>
              </w:rPr>
              <w:t xml:space="preserve"> not outrightly resist</w:t>
            </w:r>
            <w:r w:rsidR="008401F8" w:rsidRPr="00EA32D0">
              <w:rPr>
                <w:rFonts w:asciiTheme="minorHAnsi" w:hAnsiTheme="minorHAnsi" w:cstheme="minorHAnsi"/>
                <w:iCs/>
                <w:sz w:val="22"/>
                <w:szCs w:val="22"/>
              </w:rPr>
              <w:t>ing</w:t>
            </w:r>
            <w:r w:rsidR="004A4A61" w:rsidRPr="00EA32D0">
              <w:rPr>
                <w:rFonts w:asciiTheme="minorHAnsi" w:hAnsiTheme="minorHAnsi" w:cstheme="minorHAnsi"/>
                <w:iCs/>
                <w:sz w:val="22"/>
                <w:szCs w:val="22"/>
              </w:rPr>
              <w:t xml:space="preserve"> </w:t>
            </w:r>
            <w:r w:rsidR="008401F8" w:rsidRPr="00EA32D0">
              <w:rPr>
                <w:rFonts w:asciiTheme="minorHAnsi" w:hAnsiTheme="minorHAnsi" w:cstheme="minorHAnsi"/>
                <w:iCs/>
                <w:sz w:val="22"/>
                <w:szCs w:val="22"/>
              </w:rPr>
              <w:t>development</w:t>
            </w:r>
            <w:r w:rsidR="008D7D17">
              <w:rPr>
                <w:rFonts w:asciiTheme="minorHAnsi" w:hAnsiTheme="minorHAnsi" w:cstheme="minorHAnsi"/>
                <w:iCs/>
                <w:sz w:val="22"/>
                <w:szCs w:val="22"/>
              </w:rPr>
              <w:t>;</w:t>
            </w:r>
            <w:r w:rsidR="008D7D17" w:rsidRPr="00EA32D0">
              <w:rPr>
                <w:rFonts w:asciiTheme="minorHAnsi" w:hAnsiTheme="minorHAnsi" w:cstheme="minorHAnsi"/>
                <w:iCs/>
                <w:sz w:val="22"/>
                <w:szCs w:val="22"/>
              </w:rPr>
              <w:t xml:space="preserve"> </w:t>
            </w:r>
            <w:r w:rsidR="008401F8" w:rsidRPr="00EA32D0">
              <w:rPr>
                <w:rFonts w:asciiTheme="minorHAnsi" w:hAnsiTheme="minorHAnsi" w:cstheme="minorHAnsi"/>
                <w:iCs/>
                <w:sz w:val="22"/>
                <w:szCs w:val="22"/>
              </w:rPr>
              <w:t xml:space="preserve">they </w:t>
            </w:r>
            <w:r w:rsidR="004A4A61" w:rsidRPr="00EA32D0">
              <w:rPr>
                <w:rFonts w:asciiTheme="minorHAnsi" w:hAnsiTheme="minorHAnsi" w:cstheme="minorHAnsi"/>
                <w:iCs/>
                <w:sz w:val="22"/>
                <w:szCs w:val="22"/>
              </w:rPr>
              <w:t>are</w:t>
            </w:r>
            <w:r w:rsidR="008401F8" w:rsidRPr="00EA32D0">
              <w:rPr>
                <w:rFonts w:asciiTheme="minorHAnsi" w:hAnsiTheme="minorHAnsi" w:cstheme="minorHAnsi"/>
                <w:iCs/>
                <w:sz w:val="22"/>
                <w:szCs w:val="22"/>
              </w:rPr>
              <w:t xml:space="preserve"> crea</w:t>
            </w:r>
            <w:r w:rsidR="004A4A61" w:rsidRPr="00EA32D0">
              <w:rPr>
                <w:rFonts w:asciiTheme="minorHAnsi" w:hAnsiTheme="minorHAnsi" w:cstheme="minorHAnsi"/>
                <w:iCs/>
                <w:sz w:val="22"/>
                <w:szCs w:val="22"/>
              </w:rPr>
              <w:t>ting</w:t>
            </w:r>
            <w:r w:rsidR="00AD7DF3" w:rsidRPr="00EA32D0">
              <w:rPr>
                <w:rFonts w:asciiTheme="minorHAnsi" w:hAnsiTheme="minorHAnsi" w:cstheme="minorHAnsi"/>
                <w:iCs/>
                <w:sz w:val="22"/>
                <w:szCs w:val="22"/>
              </w:rPr>
              <w:t xml:space="preserve"> alternative governance solutions to fill gaps left by centralised and weakly enforced</w:t>
            </w:r>
            <w:r w:rsidR="00B45B4F" w:rsidRPr="00EA32D0">
              <w:rPr>
                <w:rFonts w:asciiTheme="minorHAnsi" w:hAnsiTheme="minorHAnsi" w:cstheme="minorHAnsi"/>
                <w:iCs/>
                <w:sz w:val="22"/>
                <w:szCs w:val="22"/>
              </w:rPr>
              <w:t xml:space="preserve"> governance</w:t>
            </w:r>
            <w:r w:rsidR="00AD7DF3" w:rsidRPr="00EA32D0">
              <w:rPr>
                <w:rFonts w:asciiTheme="minorHAnsi" w:hAnsiTheme="minorHAnsi" w:cstheme="minorHAnsi"/>
                <w:iCs/>
                <w:sz w:val="22"/>
                <w:szCs w:val="22"/>
              </w:rPr>
              <w:t xml:space="preserve"> systems.</w:t>
            </w:r>
            <w:r w:rsidR="007670EE" w:rsidRPr="00EA32D0">
              <w:rPr>
                <w:rFonts w:asciiTheme="minorHAnsi" w:hAnsiTheme="minorHAnsi" w:cstheme="minorHAnsi"/>
                <w:iCs/>
                <w:sz w:val="22"/>
                <w:szCs w:val="22"/>
              </w:rPr>
              <w:t xml:space="preserve"> These responses show</w:t>
            </w:r>
            <w:r w:rsidR="004D570C">
              <w:rPr>
                <w:rFonts w:asciiTheme="minorHAnsi" w:hAnsiTheme="minorHAnsi" w:cstheme="minorHAnsi"/>
                <w:iCs/>
                <w:sz w:val="22"/>
                <w:szCs w:val="22"/>
              </w:rPr>
              <w:t xml:space="preserve"> broader narratives from the global south</w:t>
            </w:r>
            <w:r w:rsidR="007670EE" w:rsidRPr="00EA32D0">
              <w:rPr>
                <w:rFonts w:asciiTheme="minorHAnsi" w:hAnsiTheme="minorHAnsi" w:cstheme="minorHAnsi"/>
                <w:iCs/>
                <w:sz w:val="22"/>
                <w:szCs w:val="22"/>
              </w:rPr>
              <w:t xml:space="preserve"> that</w:t>
            </w:r>
            <w:r w:rsidR="008D7D17">
              <w:rPr>
                <w:rFonts w:asciiTheme="minorHAnsi" w:hAnsiTheme="minorHAnsi" w:cstheme="minorHAnsi"/>
                <w:iCs/>
                <w:sz w:val="22"/>
                <w:szCs w:val="22"/>
              </w:rPr>
              <w:t>,</w:t>
            </w:r>
            <w:r w:rsidR="007670EE" w:rsidRPr="00EA32D0">
              <w:rPr>
                <w:rFonts w:asciiTheme="minorHAnsi" w:hAnsiTheme="minorHAnsi" w:cstheme="minorHAnsi"/>
                <w:iCs/>
                <w:sz w:val="22"/>
                <w:szCs w:val="22"/>
              </w:rPr>
              <w:t xml:space="preserve"> </w:t>
            </w:r>
            <w:r w:rsidR="008F753D" w:rsidRPr="00EA32D0">
              <w:rPr>
                <w:rFonts w:asciiTheme="minorHAnsi" w:hAnsiTheme="minorHAnsi" w:cstheme="minorHAnsi"/>
                <w:iCs/>
                <w:sz w:val="22"/>
                <w:szCs w:val="22"/>
              </w:rPr>
              <w:t>when</w:t>
            </w:r>
            <w:r w:rsidR="007670EE" w:rsidRPr="00EA32D0">
              <w:rPr>
                <w:rFonts w:asciiTheme="minorHAnsi" w:hAnsiTheme="minorHAnsi" w:cstheme="minorHAnsi"/>
                <w:iCs/>
                <w:sz w:val="22"/>
                <w:szCs w:val="22"/>
              </w:rPr>
              <w:t xml:space="preserve"> formal governance </w:t>
            </w:r>
            <w:r w:rsidR="008F753D" w:rsidRPr="00EA32D0">
              <w:rPr>
                <w:rFonts w:asciiTheme="minorHAnsi" w:hAnsiTheme="minorHAnsi" w:cstheme="minorHAnsi"/>
                <w:iCs/>
                <w:sz w:val="22"/>
                <w:szCs w:val="22"/>
              </w:rPr>
              <w:t>fails</w:t>
            </w:r>
            <w:r w:rsidR="0011543D" w:rsidRPr="00EA32D0">
              <w:rPr>
                <w:rFonts w:asciiTheme="minorHAnsi" w:hAnsiTheme="minorHAnsi" w:cstheme="minorHAnsi"/>
                <w:iCs/>
                <w:sz w:val="22"/>
                <w:szCs w:val="22"/>
              </w:rPr>
              <w:t xml:space="preserve">, communities </w:t>
            </w:r>
            <w:r w:rsidR="009C7343">
              <w:rPr>
                <w:rFonts w:asciiTheme="minorHAnsi" w:hAnsiTheme="minorHAnsi" w:cstheme="minorHAnsi"/>
                <w:iCs/>
                <w:sz w:val="22"/>
                <w:szCs w:val="22"/>
              </w:rPr>
              <w:t xml:space="preserve">attempt to mobilise and </w:t>
            </w:r>
            <w:r w:rsidR="0011543D" w:rsidRPr="00EA32D0">
              <w:rPr>
                <w:rFonts w:asciiTheme="minorHAnsi" w:hAnsiTheme="minorHAnsi" w:cstheme="minorHAnsi"/>
                <w:iCs/>
                <w:sz w:val="22"/>
                <w:szCs w:val="22"/>
              </w:rPr>
              <w:t>create</w:t>
            </w:r>
            <w:r w:rsidR="0056413F" w:rsidRPr="00EA32D0">
              <w:rPr>
                <w:rFonts w:asciiTheme="minorHAnsi" w:hAnsiTheme="minorHAnsi" w:cstheme="minorHAnsi"/>
                <w:iCs/>
                <w:sz w:val="22"/>
                <w:szCs w:val="22"/>
              </w:rPr>
              <w:t xml:space="preserve"> their own</w:t>
            </w:r>
            <w:r w:rsidR="007670EE" w:rsidRPr="00EA32D0">
              <w:rPr>
                <w:rFonts w:asciiTheme="minorHAnsi" w:hAnsiTheme="minorHAnsi" w:cstheme="minorHAnsi"/>
                <w:iCs/>
                <w:sz w:val="22"/>
                <w:szCs w:val="22"/>
              </w:rPr>
              <w:t xml:space="preserve"> locally grounded institutio</w:t>
            </w:r>
            <w:r w:rsidR="00BD6020" w:rsidRPr="00EA32D0">
              <w:rPr>
                <w:rFonts w:asciiTheme="minorHAnsi" w:hAnsiTheme="minorHAnsi" w:cstheme="minorHAnsi"/>
                <w:iCs/>
                <w:sz w:val="22"/>
                <w:szCs w:val="22"/>
              </w:rPr>
              <w:t>ns</w:t>
            </w:r>
            <w:r w:rsidR="007670EE" w:rsidRPr="00EA32D0">
              <w:rPr>
                <w:rFonts w:asciiTheme="minorHAnsi" w:hAnsiTheme="minorHAnsi" w:cstheme="minorHAnsi"/>
                <w:iCs/>
                <w:sz w:val="22"/>
                <w:szCs w:val="22"/>
              </w:rPr>
              <w:t xml:space="preserve"> </w:t>
            </w:r>
            <w:r w:rsidR="0056413F" w:rsidRPr="00EA32D0">
              <w:rPr>
                <w:rFonts w:asciiTheme="minorHAnsi" w:hAnsiTheme="minorHAnsi" w:cstheme="minorHAnsi"/>
                <w:iCs/>
                <w:sz w:val="22"/>
                <w:szCs w:val="22"/>
              </w:rPr>
              <w:t xml:space="preserve">to protect their interests </w:t>
            </w:r>
            <w:r w:rsidR="00BD6020" w:rsidRPr="00EA32D0">
              <w:rPr>
                <w:rFonts w:asciiTheme="minorHAnsi" w:hAnsiTheme="minorHAnsi" w:cstheme="minorHAnsi"/>
                <w:iCs/>
                <w:sz w:val="22"/>
                <w:szCs w:val="22"/>
              </w:rPr>
              <w:t xml:space="preserve">and </w:t>
            </w:r>
            <w:r w:rsidR="00D3547C" w:rsidRPr="00EA32D0">
              <w:rPr>
                <w:rFonts w:asciiTheme="minorHAnsi" w:hAnsiTheme="minorHAnsi" w:cstheme="minorHAnsi"/>
                <w:iCs/>
                <w:sz w:val="22"/>
                <w:szCs w:val="22"/>
              </w:rPr>
              <w:t xml:space="preserve">influence </w:t>
            </w:r>
            <w:r w:rsidR="00045FA4" w:rsidRPr="00EA32D0">
              <w:rPr>
                <w:rFonts w:asciiTheme="minorHAnsi" w:hAnsiTheme="minorHAnsi" w:cstheme="minorHAnsi"/>
                <w:iCs/>
                <w:sz w:val="22"/>
                <w:szCs w:val="22"/>
              </w:rPr>
              <w:t>over decisions that affect them</w:t>
            </w:r>
            <w:r w:rsidR="00211CFA">
              <w:rPr>
                <w:rFonts w:asciiTheme="minorHAnsi" w:hAnsiTheme="minorHAnsi" w:cstheme="minorHAnsi"/>
                <w:iCs/>
                <w:sz w:val="22"/>
                <w:szCs w:val="22"/>
              </w:rPr>
              <w:t xml:space="preserve">, though </w:t>
            </w:r>
            <w:r w:rsidR="00B63F5B">
              <w:rPr>
                <w:rFonts w:asciiTheme="minorHAnsi" w:hAnsiTheme="minorHAnsi" w:cstheme="minorHAnsi"/>
                <w:iCs/>
                <w:sz w:val="22"/>
                <w:szCs w:val="22"/>
              </w:rPr>
              <w:t xml:space="preserve">in some cases they </w:t>
            </w:r>
            <w:r w:rsidR="007B0104">
              <w:rPr>
                <w:rFonts w:asciiTheme="minorHAnsi" w:hAnsiTheme="minorHAnsi" w:cstheme="minorHAnsi"/>
                <w:iCs/>
                <w:sz w:val="22"/>
                <w:szCs w:val="22"/>
              </w:rPr>
              <w:t>have been met with</w:t>
            </w:r>
            <w:r w:rsidR="00B63F5B">
              <w:rPr>
                <w:rFonts w:asciiTheme="minorHAnsi" w:hAnsiTheme="minorHAnsi" w:cstheme="minorHAnsi"/>
                <w:iCs/>
                <w:sz w:val="22"/>
                <w:szCs w:val="22"/>
              </w:rPr>
              <w:t xml:space="preserve"> repression</w:t>
            </w:r>
            <w:r w:rsidR="007670EE" w:rsidRPr="00EA32D0">
              <w:rPr>
                <w:rFonts w:asciiTheme="minorHAnsi" w:hAnsiTheme="minorHAnsi" w:cstheme="minorHAnsi"/>
                <w:iCs/>
                <w:sz w:val="22"/>
                <w:szCs w:val="22"/>
              </w:rPr>
              <w:t xml:space="preserve"> </w:t>
            </w:r>
            <w:r w:rsidR="007670EE" w:rsidRPr="00EA32D0">
              <w:rPr>
                <w:rFonts w:ascii="Calibri" w:hAnsi="Calibri" w:cs="Calibri"/>
                <w:iCs/>
                <w:sz w:val="22"/>
                <w:szCs w:val="22"/>
              </w:rPr>
              <w:fldChar w:fldCharType="begin"/>
            </w:r>
            <w:r w:rsidR="006C208C" w:rsidRPr="00EA32D0">
              <w:rPr>
                <w:rFonts w:ascii="Calibri" w:hAnsi="Calibri" w:cs="Calibri"/>
                <w:iCs/>
                <w:sz w:val="22"/>
                <w:szCs w:val="22"/>
              </w:rPr>
              <w:instrText xml:space="preserve"> ADDIN ZOTERO_ITEM CSL_CITATION {"citationID":"3CqFOYSa","properties":{"formattedCitation":"(Campbell &amp; Hatcher, 2019; Hatcher &amp; Lander, 2023)","plainCitation":"(Campbell &amp; Hatcher, 2019; Hatcher &amp; Lander, 2023)","noteIndex":0},"citationItems":[{"id":77,"uris":["http://zotero.org/users/11681747/items/UALLVY48"],"itemData":{"id":77,"type":"article-journal","abstract":"Drawing on contributions from heterodox international political economy, this paper uses the notions of structural power and modes of governance to analyze the conditions that help explain emerging trends in the reform of extractive governance. Based on case studies of governance reform dynamics in Guinea and Mongolia, the article argues that, in certain cases, the possibility of change exists in the modes of governance and that with these changes, the shifting of relations of power among the actors concerned can begin.","container-title":"The Extractive Industries and Society","DOI":"10.1016/j.exis.2019.06.010","ISSN":"2214790X","issue":"3","journalAbbreviation":"The Extractive Industries and Society","language":"en","page":"642-653","source":"DOI.org (Crossref)","title":"Neoliberal reform, contestation and relations of power in mining: Observations from Guinea and Mongolia","title-short":"Neoliberal reform, contestation and relations of power in mining","volume":"6","author":[{"family":"Campbell","given":"Bonnie"},{"family":"Hatcher","given":"Pascale"}],"issued":{"date-parts":[["2019",7]]}}},{"id":2370,"uris":["http://zotero.org/users/11681747/items/GQGZNET8"],"itemData":{"id":2370,"type":"article-journal","abstract":"With two of the world’s largest mining projects, Mongolia has become one of Asia’s key mineral producers in the past 20 years. Mongolian pastoralist communities living in the South Gobi region in the vicinity of large-scale mining operations have recently turned to transnational dispute resolution arenas to lodge their grievances and seek redress. Notably, these pastoralists have sought to trigger international grievance mechanisms on the basis of being indigenous people, even though they are not recognised as such by their government. This article situates this contemporary mobilisation of pastoralist communities in relation to largescale mining projects within a longer history of state (de)regulation of the pastoralist economy. It reﬂects on the role of non-state legal norms and mechanisms in introducing new forms of legal and political subjectivity into the milieu of discourses surrounding Mongolian pastoralist identity and livelihoods. The article reﬂects on the potential implications of extractive economy upon transnational identity formation, local/national political spaces, and strategic negotiations with state and corporate power.","container-title":"Journal of Contemporary Asia","DOI":"10.1080/00472336.2022.2032278","ISSN":"0047-2336, 1752-7554","issue":"2","journalAbbreviation":"Journal of Contemporary Asia","language":"en","page":"311-334","source":"DOI.org (Crossref)","title":"Searching for New Political Spaces: Negotiating Citizenship and Transnational Identities on Mongolia’s Mining Frontier","title-short":"Searching for New Political Spaces","volume":"53","author":[{"family":"Hatcher","given":"Pascale"},{"family":"Lander","given":"Jennifer"}],"issued":{"date-parts":[["2023",3,15]]}}}],"schema":"https://github.com/citation-style-language/schema/raw/master/csl-citation.json"} </w:instrText>
            </w:r>
            <w:r w:rsidR="007670EE" w:rsidRPr="00EA32D0">
              <w:rPr>
                <w:rFonts w:ascii="Calibri" w:hAnsi="Calibri" w:cs="Calibri"/>
                <w:iCs/>
                <w:sz w:val="22"/>
                <w:szCs w:val="22"/>
              </w:rPr>
              <w:fldChar w:fldCharType="separate"/>
            </w:r>
            <w:r w:rsidR="006C208C" w:rsidRPr="00EA32D0">
              <w:rPr>
                <w:rFonts w:ascii="Calibri" w:hAnsi="Calibri" w:cs="Calibri"/>
                <w:sz w:val="22"/>
                <w:szCs w:val="22"/>
              </w:rPr>
              <w:t>(Campbell &amp; Hatcher, 2019; Hatcher &amp; Lander, 2023)</w:t>
            </w:r>
            <w:r w:rsidR="007670EE" w:rsidRPr="00EA32D0">
              <w:rPr>
                <w:rFonts w:ascii="Calibri" w:hAnsi="Calibri" w:cs="Calibri"/>
                <w:iCs/>
                <w:sz w:val="22"/>
                <w:szCs w:val="22"/>
              </w:rPr>
              <w:fldChar w:fldCharType="end"/>
            </w:r>
            <w:r w:rsidR="007670EE" w:rsidRPr="00EA32D0">
              <w:rPr>
                <w:rFonts w:ascii="Calibri" w:hAnsi="Calibri" w:cs="Calibri"/>
                <w:iCs/>
                <w:sz w:val="22"/>
                <w:szCs w:val="22"/>
              </w:rPr>
              <w:t>.</w:t>
            </w:r>
          </w:p>
          <w:p w14:paraId="26740ADF" w14:textId="77777777" w:rsidR="00033090" w:rsidRDefault="00033090" w:rsidP="003F5F1C">
            <w:pPr>
              <w:pStyle w:val="BulletPoints"/>
              <w:numPr>
                <w:ilvl w:val="0"/>
                <w:numId w:val="0"/>
              </w:numPr>
              <w:spacing w:after="0"/>
              <w:rPr>
                <w:rFonts w:ascii="Calibri" w:hAnsi="Calibri" w:cs="Calibri"/>
                <w:iCs/>
                <w:sz w:val="22"/>
                <w:szCs w:val="22"/>
              </w:rPr>
            </w:pPr>
          </w:p>
          <w:p w14:paraId="281A360B" w14:textId="6122E695" w:rsidR="00006DD3" w:rsidRPr="00C9688A" w:rsidRDefault="00006DD3"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t xml:space="preserve">Development Implications </w:t>
            </w:r>
            <w:r w:rsidR="000240DB" w:rsidRPr="00C9688A">
              <w:rPr>
                <w:rFonts w:asciiTheme="minorHAnsi" w:hAnsiTheme="minorHAnsi" w:cstheme="minorHAnsi"/>
                <w:color w:val="864EA8" w:themeColor="accent1" w:themeShade="BF"/>
                <w:sz w:val="24"/>
                <w:szCs w:val="24"/>
              </w:rPr>
              <w:t>of</w:t>
            </w:r>
            <w:r w:rsidR="00227EE9" w:rsidRPr="00C9688A">
              <w:rPr>
                <w:rFonts w:asciiTheme="minorHAnsi" w:hAnsiTheme="minorHAnsi" w:cstheme="minorHAnsi"/>
                <w:color w:val="864EA8" w:themeColor="accent1" w:themeShade="BF"/>
                <w:sz w:val="24"/>
                <w:szCs w:val="24"/>
              </w:rPr>
              <w:t xml:space="preserve"> Oil </w:t>
            </w:r>
            <w:r w:rsidR="00C765D0" w:rsidRPr="00C9688A">
              <w:rPr>
                <w:rFonts w:asciiTheme="minorHAnsi" w:hAnsiTheme="minorHAnsi" w:cstheme="minorHAnsi"/>
                <w:color w:val="864EA8" w:themeColor="accent1" w:themeShade="BF"/>
                <w:sz w:val="24"/>
                <w:szCs w:val="24"/>
              </w:rPr>
              <w:t>Governance</w:t>
            </w:r>
            <w:r w:rsidR="00227EE9" w:rsidRPr="00C9688A">
              <w:rPr>
                <w:rFonts w:asciiTheme="minorHAnsi" w:hAnsiTheme="minorHAnsi" w:cstheme="minorHAnsi"/>
                <w:color w:val="864EA8" w:themeColor="accent1" w:themeShade="BF"/>
                <w:sz w:val="24"/>
                <w:szCs w:val="24"/>
              </w:rPr>
              <w:t xml:space="preserve"> </w:t>
            </w:r>
            <w:r w:rsidR="00C765D0" w:rsidRPr="00C9688A">
              <w:rPr>
                <w:rFonts w:asciiTheme="minorHAnsi" w:hAnsiTheme="minorHAnsi" w:cstheme="minorHAnsi"/>
                <w:color w:val="864EA8" w:themeColor="accent1" w:themeShade="BF"/>
                <w:sz w:val="24"/>
                <w:szCs w:val="24"/>
              </w:rPr>
              <w:t>in</w:t>
            </w:r>
            <w:r w:rsidR="00227EE9" w:rsidRPr="00C9688A">
              <w:rPr>
                <w:rFonts w:asciiTheme="minorHAnsi" w:hAnsiTheme="minorHAnsi" w:cstheme="minorHAnsi"/>
                <w:color w:val="864EA8" w:themeColor="accent1" w:themeShade="BF"/>
                <w:sz w:val="24"/>
                <w:szCs w:val="24"/>
              </w:rPr>
              <w:t xml:space="preserve"> </w:t>
            </w:r>
            <w:r w:rsidRPr="00C9688A">
              <w:rPr>
                <w:rFonts w:asciiTheme="minorHAnsi" w:hAnsiTheme="minorHAnsi" w:cstheme="minorHAnsi"/>
                <w:color w:val="864EA8" w:themeColor="accent1" w:themeShade="BF"/>
                <w:sz w:val="24"/>
                <w:szCs w:val="24"/>
              </w:rPr>
              <w:t>Turkana</w:t>
            </w:r>
          </w:p>
          <w:p w14:paraId="7B54D7D7" w14:textId="605E9CE0" w:rsidR="003278E3" w:rsidRDefault="003278E3" w:rsidP="00C765D0">
            <w:pPr>
              <w:pStyle w:val="BulletPoints"/>
              <w:numPr>
                <w:ilvl w:val="0"/>
                <w:numId w:val="0"/>
              </w:numPr>
              <w:spacing w:after="0"/>
              <w:rPr>
                <w:rFonts w:asciiTheme="minorHAnsi" w:hAnsiTheme="minorHAnsi" w:cstheme="minorHAnsi"/>
                <w:iCs/>
                <w:sz w:val="22"/>
                <w:szCs w:val="22"/>
              </w:rPr>
            </w:pPr>
            <w:r>
              <w:rPr>
                <w:rFonts w:asciiTheme="minorHAnsi" w:hAnsiTheme="minorHAnsi" w:cstheme="minorHAnsi"/>
                <w:iCs/>
                <w:sz w:val="22"/>
                <w:szCs w:val="22"/>
              </w:rPr>
              <w:t xml:space="preserve">The </w:t>
            </w:r>
            <w:r w:rsidR="006C1EB5">
              <w:rPr>
                <w:rFonts w:asciiTheme="minorHAnsi" w:hAnsiTheme="minorHAnsi" w:cstheme="minorHAnsi"/>
                <w:iCs/>
                <w:sz w:val="22"/>
                <w:szCs w:val="22"/>
              </w:rPr>
              <w:t>dynamics</w:t>
            </w:r>
            <w:r>
              <w:rPr>
                <w:rFonts w:asciiTheme="minorHAnsi" w:hAnsiTheme="minorHAnsi" w:cstheme="minorHAnsi"/>
                <w:iCs/>
                <w:sz w:val="22"/>
                <w:szCs w:val="22"/>
              </w:rPr>
              <w:t xml:space="preserve"> </w:t>
            </w:r>
            <w:r w:rsidR="00E47533">
              <w:rPr>
                <w:rFonts w:asciiTheme="minorHAnsi" w:hAnsiTheme="minorHAnsi" w:cstheme="minorHAnsi"/>
                <w:iCs/>
                <w:sz w:val="22"/>
                <w:szCs w:val="22"/>
              </w:rPr>
              <w:t>seen in Turkan</w:t>
            </w:r>
            <w:r w:rsidR="00A81BCE">
              <w:rPr>
                <w:rFonts w:asciiTheme="minorHAnsi" w:hAnsiTheme="minorHAnsi" w:cstheme="minorHAnsi"/>
                <w:iCs/>
                <w:sz w:val="22"/>
                <w:szCs w:val="22"/>
              </w:rPr>
              <w:t xml:space="preserve">a </w:t>
            </w:r>
            <w:r>
              <w:rPr>
                <w:rFonts w:asciiTheme="minorHAnsi" w:hAnsiTheme="minorHAnsi" w:cstheme="minorHAnsi"/>
                <w:iCs/>
                <w:sz w:val="22"/>
                <w:szCs w:val="22"/>
              </w:rPr>
              <w:t>reflect a</w:t>
            </w:r>
            <w:r w:rsidRPr="004C068D">
              <w:rPr>
                <w:rFonts w:asciiTheme="minorHAnsi" w:hAnsiTheme="minorHAnsi" w:cstheme="minorHAnsi"/>
                <w:iCs/>
                <w:sz w:val="22"/>
                <w:szCs w:val="22"/>
              </w:rPr>
              <w:t xml:space="preserve"> broader </w:t>
            </w:r>
            <w:r w:rsidR="00664477">
              <w:rPr>
                <w:rFonts w:asciiTheme="minorHAnsi" w:hAnsiTheme="minorHAnsi" w:cstheme="minorHAnsi"/>
                <w:iCs/>
                <w:sz w:val="22"/>
                <w:szCs w:val="22"/>
              </w:rPr>
              <w:t>development</w:t>
            </w:r>
            <w:r w:rsidRPr="004C068D">
              <w:rPr>
                <w:rFonts w:asciiTheme="minorHAnsi" w:hAnsiTheme="minorHAnsi" w:cstheme="minorHAnsi"/>
                <w:iCs/>
                <w:sz w:val="22"/>
                <w:szCs w:val="22"/>
              </w:rPr>
              <w:t xml:space="preserve"> dilemma facing Kenya </w:t>
            </w:r>
            <w:r>
              <w:rPr>
                <w:rFonts w:asciiTheme="minorHAnsi" w:hAnsiTheme="minorHAnsi" w:cstheme="minorHAnsi"/>
                <w:iCs/>
                <w:sz w:val="22"/>
                <w:szCs w:val="22"/>
              </w:rPr>
              <w:t xml:space="preserve">and </w:t>
            </w:r>
            <w:r w:rsidR="00A060F1">
              <w:rPr>
                <w:rFonts w:asciiTheme="minorHAnsi" w:hAnsiTheme="minorHAnsi" w:cstheme="minorHAnsi"/>
                <w:iCs/>
                <w:sz w:val="22"/>
                <w:szCs w:val="22"/>
              </w:rPr>
              <w:t xml:space="preserve">many </w:t>
            </w:r>
            <w:r>
              <w:rPr>
                <w:rFonts w:asciiTheme="minorHAnsi" w:hAnsiTheme="minorHAnsi" w:cstheme="minorHAnsi"/>
                <w:iCs/>
                <w:sz w:val="22"/>
                <w:szCs w:val="22"/>
              </w:rPr>
              <w:t xml:space="preserve">other </w:t>
            </w:r>
            <w:r w:rsidR="008D7D17">
              <w:rPr>
                <w:rFonts w:asciiTheme="minorHAnsi" w:hAnsiTheme="minorHAnsi" w:cstheme="minorHAnsi"/>
                <w:iCs/>
                <w:sz w:val="22"/>
                <w:szCs w:val="22"/>
              </w:rPr>
              <w:t>resource-</w:t>
            </w:r>
            <w:r>
              <w:rPr>
                <w:rFonts w:asciiTheme="minorHAnsi" w:hAnsiTheme="minorHAnsi" w:cstheme="minorHAnsi"/>
                <w:iCs/>
                <w:sz w:val="22"/>
                <w:szCs w:val="22"/>
              </w:rPr>
              <w:t xml:space="preserve">rich countries </w:t>
            </w:r>
            <w:r w:rsidRPr="004C068D">
              <w:rPr>
                <w:rFonts w:asciiTheme="minorHAnsi" w:hAnsiTheme="minorHAnsi" w:cstheme="minorHAnsi"/>
                <w:iCs/>
                <w:sz w:val="22"/>
                <w:szCs w:val="22"/>
              </w:rPr>
              <w:t xml:space="preserve">on how to pursue extractive development while meeting commitments to Sustainable Development Goals (SDGs) of </w:t>
            </w:r>
            <w:r w:rsidRPr="006D2483">
              <w:rPr>
                <w:rFonts w:asciiTheme="minorHAnsi" w:hAnsiTheme="minorHAnsi" w:cstheme="minorHAnsi"/>
                <w:iCs/>
                <w:sz w:val="22"/>
                <w:szCs w:val="22"/>
              </w:rPr>
              <w:t>poverty reduction, environmental sustainability, reduced inequality and a just transition in the context of climate change (SDGs 1, 10, 12, and 13).</w:t>
            </w:r>
          </w:p>
          <w:p w14:paraId="09DCA3F1" w14:textId="4919EA31" w:rsidR="003278E3" w:rsidRDefault="003278E3" w:rsidP="00B5787D">
            <w:pPr>
              <w:pStyle w:val="BulletPoints"/>
              <w:numPr>
                <w:ilvl w:val="0"/>
                <w:numId w:val="0"/>
              </w:numPr>
              <w:spacing w:after="0"/>
              <w:ind w:firstLine="340"/>
              <w:rPr>
                <w:rFonts w:asciiTheme="minorHAnsi" w:hAnsiTheme="minorHAnsi" w:cstheme="minorHAnsi"/>
                <w:iCs/>
                <w:sz w:val="22"/>
                <w:szCs w:val="22"/>
              </w:rPr>
            </w:pPr>
            <w:r w:rsidRPr="004C068D">
              <w:rPr>
                <w:rFonts w:asciiTheme="minorHAnsi" w:hAnsiTheme="minorHAnsi" w:cstheme="minorHAnsi"/>
                <w:iCs/>
                <w:sz w:val="22"/>
                <w:szCs w:val="22"/>
              </w:rPr>
              <w:t xml:space="preserve">The Turkana </w:t>
            </w:r>
            <w:r>
              <w:rPr>
                <w:rFonts w:asciiTheme="minorHAnsi" w:hAnsiTheme="minorHAnsi" w:cstheme="minorHAnsi"/>
                <w:iCs/>
                <w:sz w:val="22"/>
                <w:szCs w:val="22"/>
              </w:rPr>
              <w:t>case illustrates</w:t>
            </w:r>
            <w:r w:rsidRPr="004C068D">
              <w:rPr>
                <w:rFonts w:asciiTheme="minorHAnsi" w:hAnsiTheme="minorHAnsi" w:cstheme="minorHAnsi"/>
                <w:iCs/>
                <w:sz w:val="22"/>
                <w:szCs w:val="22"/>
              </w:rPr>
              <w:t xml:space="preserve"> </w:t>
            </w:r>
            <w:r>
              <w:rPr>
                <w:rFonts w:asciiTheme="minorHAnsi" w:hAnsiTheme="minorHAnsi" w:cstheme="minorHAnsi"/>
                <w:iCs/>
                <w:sz w:val="22"/>
                <w:szCs w:val="22"/>
              </w:rPr>
              <w:t xml:space="preserve">a </w:t>
            </w:r>
            <w:r w:rsidRPr="004C068D">
              <w:rPr>
                <w:rFonts w:asciiTheme="minorHAnsi" w:hAnsiTheme="minorHAnsi" w:cstheme="minorHAnsi"/>
                <w:iCs/>
                <w:sz w:val="22"/>
                <w:szCs w:val="22"/>
              </w:rPr>
              <w:t xml:space="preserve">wider </w:t>
            </w:r>
            <w:r w:rsidR="00A50239">
              <w:rPr>
                <w:rFonts w:asciiTheme="minorHAnsi" w:hAnsiTheme="minorHAnsi" w:cstheme="minorHAnsi"/>
                <w:iCs/>
                <w:sz w:val="22"/>
                <w:szCs w:val="22"/>
              </w:rPr>
              <w:t xml:space="preserve">structural </w:t>
            </w:r>
            <w:r w:rsidRPr="004C068D">
              <w:rPr>
                <w:rFonts w:asciiTheme="minorHAnsi" w:hAnsiTheme="minorHAnsi" w:cstheme="minorHAnsi"/>
                <w:iCs/>
                <w:sz w:val="22"/>
                <w:szCs w:val="22"/>
              </w:rPr>
              <w:t>pattern</w:t>
            </w:r>
            <w:r>
              <w:rPr>
                <w:rFonts w:asciiTheme="minorHAnsi" w:hAnsiTheme="minorHAnsi" w:cstheme="minorHAnsi"/>
                <w:iCs/>
                <w:sz w:val="22"/>
                <w:szCs w:val="22"/>
              </w:rPr>
              <w:t xml:space="preserve"> </w:t>
            </w:r>
            <w:r w:rsidR="001F2F95">
              <w:rPr>
                <w:rFonts w:asciiTheme="minorHAnsi" w:hAnsiTheme="minorHAnsi" w:cstheme="minorHAnsi"/>
                <w:iCs/>
                <w:sz w:val="22"/>
                <w:szCs w:val="22"/>
              </w:rPr>
              <w:t>in which</w:t>
            </w:r>
            <w:r>
              <w:rPr>
                <w:rFonts w:asciiTheme="minorHAnsi" w:hAnsiTheme="minorHAnsi" w:cstheme="minorHAnsi"/>
                <w:iCs/>
                <w:sz w:val="22"/>
                <w:szCs w:val="22"/>
              </w:rPr>
              <w:t xml:space="preserve"> </w:t>
            </w:r>
            <w:r w:rsidRPr="004C068D">
              <w:rPr>
                <w:rFonts w:asciiTheme="minorHAnsi" w:hAnsiTheme="minorHAnsi" w:cstheme="minorHAnsi"/>
                <w:iCs/>
                <w:sz w:val="22"/>
                <w:szCs w:val="22"/>
              </w:rPr>
              <w:t xml:space="preserve">extractive </w:t>
            </w:r>
            <w:r>
              <w:rPr>
                <w:rFonts w:asciiTheme="minorHAnsi" w:hAnsiTheme="minorHAnsi" w:cstheme="minorHAnsi"/>
                <w:iCs/>
                <w:sz w:val="22"/>
                <w:szCs w:val="22"/>
              </w:rPr>
              <w:t>projects expand into</w:t>
            </w:r>
            <w:r w:rsidRPr="004C068D">
              <w:rPr>
                <w:rFonts w:asciiTheme="minorHAnsi" w:hAnsiTheme="minorHAnsi" w:cstheme="minorHAnsi"/>
                <w:iCs/>
                <w:sz w:val="22"/>
                <w:szCs w:val="22"/>
              </w:rPr>
              <w:t xml:space="preserve"> marginalised and </w:t>
            </w:r>
            <w:r w:rsidR="008D7D17" w:rsidRPr="004C068D">
              <w:rPr>
                <w:rFonts w:asciiTheme="minorHAnsi" w:hAnsiTheme="minorHAnsi" w:cstheme="minorHAnsi"/>
                <w:iCs/>
                <w:sz w:val="22"/>
                <w:szCs w:val="22"/>
              </w:rPr>
              <w:t>climate</w:t>
            </w:r>
            <w:r w:rsidR="008D7D17">
              <w:rPr>
                <w:rFonts w:asciiTheme="minorHAnsi" w:hAnsiTheme="minorHAnsi" w:cstheme="minorHAnsi"/>
                <w:iCs/>
                <w:sz w:val="22"/>
                <w:szCs w:val="22"/>
              </w:rPr>
              <w:t>-</w:t>
            </w:r>
            <w:r w:rsidRPr="004C068D">
              <w:rPr>
                <w:rFonts w:asciiTheme="minorHAnsi" w:hAnsiTheme="minorHAnsi" w:cstheme="minorHAnsi"/>
                <w:iCs/>
                <w:sz w:val="22"/>
                <w:szCs w:val="22"/>
              </w:rPr>
              <w:t>vulnerable regions</w:t>
            </w:r>
            <w:r w:rsidR="00B641FF">
              <w:rPr>
                <w:rFonts w:asciiTheme="minorHAnsi" w:hAnsiTheme="minorHAnsi" w:cstheme="minorHAnsi"/>
                <w:iCs/>
                <w:sz w:val="22"/>
                <w:szCs w:val="22"/>
              </w:rPr>
              <w:t xml:space="preserve"> where </w:t>
            </w:r>
            <w:r>
              <w:rPr>
                <w:rFonts w:asciiTheme="minorHAnsi" w:hAnsiTheme="minorHAnsi" w:cstheme="minorHAnsi"/>
                <w:iCs/>
                <w:sz w:val="22"/>
                <w:szCs w:val="22"/>
              </w:rPr>
              <w:t xml:space="preserve">customary land systems </w:t>
            </w:r>
            <w:r w:rsidR="00B641FF">
              <w:rPr>
                <w:rFonts w:asciiTheme="minorHAnsi" w:hAnsiTheme="minorHAnsi" w:cstheme="minorHAnsi"/>
                <w:iCs/>
                <w:sz w:val="22"/>
                <w:szCs w:val="22"/>
              </w:rPr>
              <w:t>remain</w:t>
            </w:r>
            <w:r>
              <w:rPr>
                <w:rFonts w:asciiTheme="minorHAnsi" w:hAnsiTheme="minorHAnsi" w:cstheme="minorHAnsi"/>
                <w:iCs/>
                <w:sz w:val="22"/>
                <w:szCs w:val="22"/>
              </w:rPr>
              <w:t xml:space="preserve"> weakly recognised</w:t>
            </w:r>
            <w:r w:rsidRPr="00AA76B5">
              <w:rPr>
                <w:rFonts w:asciiTheme="minorHAnsi" w:hAnsiTheme="minorHAnsi" w:cstheme="minorHAnsi"/>
                <w:iCs/>
                <w:sz w:val="22"/>
                <w:szCs w:val="22"/>
                <w:lang w:bidi="ar-SA"/>
              </w:rPr>
              <w:t xml:space="preserve"> </w:t>
            </w:r>
            <w:r w:rsidRPr="00AA76B5">
              <w:rPr>
                <w:rFonts w:asciiTheme="minorHAnsi" w:hAnsiTheme="minorHAnsi" w:cstheme="minorHAnsi"/>
                <w:iCs/>
                <w:sz w:val="22"/>
                <w:szCs w:val="22"/>
              </w:rPr>
              <w:t xml:space="preserve">in law or </w:t>
            </w:r>
            <w:r w:rsidR="0036566D">
              <w:rPr>
                <w:rFonts w:asciiTheme="minorHAnsi" w:hAnsiTheme="minorHAnsi" w:cstheme="minorHAnsi"/>
                <w:iCs/>
                <w:sz w:val="22"/>
                <w:szCs w:val="22"/>
              </w:rPr>
              <w:t>are</w:t>
            </w:r>
            <w:r w:rsidR="00830747">
              <w:rPr>
                <w:rFonts w:asciiTheme="minorHAnsi" w:hAnsiTheme="minorHAnsi" w:cstheme="minorHAnsi"/>
                <w:iCs/>
                <w:sz w:val="22"/>
                <w:szCs w:val="22"/>
              </w:rPr>
              <w:t xml:space="preserve"> </w:t>
            </w:r>
            <w:r w:rsidRPr="00AA76B5">
              <w:rPr>
                <w:rFonts w:asciiTheme="minorHAnsi" w:hAnsiTheme="minorHAnsi" w:cstheme="minorHAnsi"/>
                <w:iCs/>
                <w:sz w:val="22"/>
                <w:szCs w:val="22"/>
              </w:rPr>
              <w:t>treated as unused or underutili</w:t>
            </w:r>
            <w:r w:rsidR="008D7D17">
              <w:rPr>
                <w:rFonts w:asciiTheme="minorHAnsi" w:hAnsiTheme="minorHAnsi" w:cstheme="minorHAnsi"/>
                <w:iCs/>
                <w:sz w:val="22"/>
                <w:szCs w:val="22"/>
              </w:rPr>
              <w:t>s</w:t>
            </w:r>
            <w:r w:rsidRPr="00AA76B5">
              <w:rPr>
                <w:rFonts w:asciiTheme="minorHAnsi" w:hAnsiTheme="minorHAnsi" w:cstheme="minorHAnsi"/>
                <w:iCs/>
                <w:sz w:val="22"/>
                <w:szCs w:val="22"/>
              </w:rPr>
              <w:t>ed</w:t>
            </w:r>
            <w:r w:rsidR="008D7D17">
              <w:rPr>
                <w:rFonts w:asciiTheme="minorHAnsi" w:hAnsiTheme="minorHAnsi" w:cstheme="minorHAnsi"/>
                <w:iCs/>
                <w:sz w:val="22"/>
                <w:szCs w:val="22"/>
              </w:rPr>
              <w:t>,</w:t>
            </w:r>
            <w:r w:rsidR="00EE3652">
              <w:rPr>
                <w:rFonts w:asciiTheme="minorHAnsi" w:hAnsiTheme="minorHAnsi" w:cstheme="minorHAnsi"/>
                <w:iCs/>
                <w:sz w:val="22"/>
                <w:szCs w:val="22"/>
              </w:rPr>
              <w:t xml:space="preserve"> and </w:t>
            </w:r>
            <w:r>
              <w:rPr>
                <w:rFonts w:asciiTheme="minorHAnsi" w:hAnsiTheme="minorHAnsi" w:cstheme="minorHAnsi"/>
                <w:iCs/>
                <w:sz w:val="22"/>
                <w:szCs w:val="22"/>
              </w:rPr>
              <w:t>accountability is limited</w:t>
            </w:r>
            <w:r w:rsidR="003C3FD0">
              <w:rPr>
                <w:rFonts w:asciiTheme="minorHAnsi" w:hAnsiTheme="minorHAnsi" w:cstheme="minorHAnsi"/>
                <w:iCs/>
                <w:sz w:val="22"/>
                <w:szCs w:val="22"/>
              </w:rPr>
              <w:t xml:space="preserve"> </w:t>
            </w:r>
            <w:r w:rsidRPr="00B17F46">
              <w:rPr>
                <w:rFonts w:ascii="Calibri" w:hAnsi="Calibri" w:cs="Calibri"/>
                <w:iCs/>
                <w:sz w:val="22"/>
                <w:szCs w:val="22"/>
              </w:rPr>
              <w:fldChar w:fldCharType="begin"/>
            </w:r>
            <w:r w:rsidRPr="00B17F46">
              <w:rPr>
                <w:rFonts w:ascii="Calibri" w:hAnsi="Calibri" w:cs="Calibri"/>
                <w:iCs/>
                <w:sz w:val="22"/>
                <w:szCs w:val="22"/>
              </w:rPr>
              <w:instrText xml:space="preserve"> ADDIN ZOTERO_ITEM CSL_CITATION {"citationID":"PgM25y4F","properties":{"unsorted":false,"formattedCitation":"(Campbell, 2013; IWGIA, 2017; Nygren et al., 2022; Scheidel et al., 2023)","plainCitation":"(Campbell, 2013; IWGIA, 2017; Nygren et al., 2022; Scheidel et al., 2023)","noteIndex":0},"citationItems":[{"id":2,"uris":["http://zotero.org/users/11681747/items/F7K92T6P"],"itemData":{"id":2,"type":"book","DOI":"10.1057/9781137332318","ISBN":"978-1-349-46675-7","language":"en","publisher":"Palgrave Macmillan UK","publisher-place":"London","source":"DOI.org (Crossref)","title":"Modes of Governance and Revenue Flows in African Mining","URL":"http://link.springer.com/10.1057/9781137332318","editor":[{"family":"Campbell","given":"Bonnie K."}],"accessed":{"date-parts":[["2023",5,10]]},"issued":{"date-parts":[["2013"]]}}},{"id":202,"uris":["http://zotero.org/users/11681747/items/Y9IZTR2F"],"itemData":{"id":202,"type":"report","ISBN":"978-87-92786-76-0","language":"en","note":"OCLC: 1000178049","publisher":"IWGIA ; African Commission on Human and Peoples' Rights","publisher-place":"Copenhagen, Banjul","source":"Open WorldCat","title":"Extractive industries, land rights and indigenous populations', communities' rights: East, Central and Southern Africa = Industries extractives, droits fonciers et droits des populations, communautés autochtones","title-short":"Extractive industries, land rights and indigenous populations', communities' rights","author":[{"family":"IWGIA","given":""}],"issued":{"date-parts":[["2017"]]}}},{"id":2317,"uris":["http://zotero.org/users/11681747/items/GCA9SA26"],"itemData":{"id":2317,"type":"article-journal","abstract":"This article examines global extractivisms and transformative alternatives; addressing: (1) access to and control over resources, (2) governance and recognition, (3) environmental-social harms, and (4) justice. The examination of these themes provides an understanding of the sociospatial links between extractivism and diﬀerentiated distribution of beneﬁts and burdens. The study sheds light on the politics of recognition, including the discourses and policies that enable extractive industries to obtain licences to operate in resource-rich territories. The analysis illuminates the inseparability of environmental-social impacts of extractivism, including altered human-nonhuman relations, while opening perspectives to claims for justice and the search for transformative alternatives.","container-title":"The Journal of Peasant Studies","DOI":"10.1080/03066150.2022.2069495","ISSN":"0306-6150, 1743-9361","issue":"4","journalAbbreviation":"The Journal of Peasant Studies","language":"en","page":"734-759","source":"DOI.org (Crossref)","title":"Global extractivisms and transformative alternatives","volume":"49","author":[{"family":"Nygren","given":"Anja"},{"family":"Kröger","given":"Markus"},{"family":"Gills","given":"Barry"}],"issued":{"date-parts":[["2022",6,7]]}}},{"id":1312,"uris":["http://zotero.org/users/11681747/items/6IA63RWQ"],"itemData":{"id":1312,"type":"article-journal","abstract":"To what extent do extractive and industrial development pressures affect Indigenous Peoples’ lifeways, lands, and rights globally? We analyze 3081 environmental conflicts over development projects to quantify Indigenous Peoples’ exposure to 11 reported social-environmental impacts jeopardizing the United Nations Declaration on the Rights of Indigenous Peoples. Indigenous Peoples are affected in at least 34% of all documented environmental conflicts worldwide. More than three-fourths of these conflicts are caused by mining, fossil fuels, dam projects, and the agriculture, forestry, fisheries, and livestock (AFFL) sector. Landscape loss (56% of cases), livelihood loss (52%), and land dispossession (50%) are reported to occur globally most often and are significantly more frequent in the AFFL sector. The resulting burdens jeopardize Indigenous rights and impede the realization of global environmental justice.","container-title":"Science Advances","DOI":"10.1126/sciadv.ade9557","ISSN":"2375-2548","issue":"23","journalAbbreviation":"Sci. Adv.","language":"en","publisher":"American Association for the Advancement of Science (AAAS)","source":"Crossref","title":"Global impacts of extractive and industrial development projects on Indigenous Peoples’ lifeways, lands, and rights","URL":"https://www.science.org/doi/10.1126/sciadv.ade9557","volume":"9","author":[{"family":"Scheidel","given":"Arnim"},{"family":"Fernández-Llamazares","given":"Álvaro"},{"family":"Bara","given":"Anju Helen"},{"family":"Del Bene","given":"Daniela"},{"family":"David-Chavez","given":"Dominique M."},{"family":"Fanari","given":"Eleonora"},{"family":"Garba","given":"Ibrahim"},{"family":"Hanaček","given":"Ksenija"},{"family":"Liu","given":"Juan"},{"family":"Martínez-Alier","given":"Joan"},{"family":"Navas","given":"Grettel"},{"family":"Reyes-García","given":"Victoria"},{"family":"Roy","given":"Brototi"},{"family":"Temper","given":"Leah"},{"family":"Thiri","given":"May Aye"},{"family":"Tran","given":"Dalena"},{"family":"Walter","given":"Mariana"},{"family":"Whyte","given":"Kyle Powys"}],"accessed":{"date-parts":[["2025",7,14]]},"issued":{"date-parts":[["2023",6,9]]}}}],"schema":"https://github.com/citation-style-language/schema/raw/master/csl-citation.json"} </w:instrText>
            </w:r>
            <w:r w:rsidRPr="00B17F46">
              <w:rPr>
                <w:rFonts w:ascii="Calibri" w:hAnsi="Calibri" w:cs="Calibri"/>
                <w:iCs/>
                <w:sz w:val="22"/>
                <w:szCs w:val="22"/>
              </w:rPr>
              <w:fldChar w:fldCharType="separate"/>
            </w:r>
            <w:r w:rsidRPr="00B17F46">
              <w:rPr>
                <w:rFonts w:ascii="Calibri" w:hAnsi="Calibri" w:cs="Calibri"/>
                <w:sz w:val="22"/>
              </w:rPr>
              <w:t>(Campbell, 2013; IWGIA, 2017;</w:t>
            </w:r>
            <w:r w:rsidR="003C3FD0">
              <w:rPr>
                <w:rFonts w:ascii="Calibri" w:hAnsi="Calibri" w:cs="Calibri"/>
                <w:sz w:val="22"/>
              </w:rPr>
              <w:t xml:space="preserve"> </w:t>
            </w:r>
            <w:r w:rsidRPr="00B17F46">
              <w:rPr>
                <w:rFonts w:ascii="Calibri" w:hAnsi="Calibri" w:cs="Calibri"/>
                <w:sz w:val="22"/>
              </w:rPr>
              <w:t>Scheidel et al., 2023)</w:t>
            </w:r>
            <w:r w:rsidRPr="00B17F46">
              <w:rPr>
                <w:rFonts w:ascii="Calibri" w:hAnsi="Calibri" w:cs="Calibri"/>
                <w:iCs/>
                <w:sz w:val="22"/>
                <w:szCs w:val="22"/>
              </w:rPr>
              <w:fldChar w:fldCharType="end"/>
            </w:r>
            <w:r w:rsidRPr="00B17F46">
              <w:rPr>
                <w:rFonts w:ascii="Calibri" w:hAnsi="Calibri" w:cs="Calibri"/>
                <w:iCs/>
                <w:sz w:val="22"/>
                <w:szCs w:val="22"/>
              </w:rPr>
              <w:t>.</w:t>
            </w:r>
            <w:r w:rsidRPr="002628A7">
              <w:rPr>
                <w:rFonts w:asciiTheme="minorHAnsi" w:hAnsiTheme="minorHAnsi" w:cstheme="minorHAnsi"/>
                <w:iCs/>
                <w:sz w:val="22"/>
                <w:szCs w:val="22"/>
              </w:rPr>
              <w:t xml:space="preserve"> </w:t>
            </w:r>
            <w:r>
              <w:rPr>
                <w:rFonts w:asciiTheme="minorHAnsi" w:hAnsiTheme="minorHAnsi" w:cstheme="minorHAnsi"/>
                <w:iCs/>
                <w:sz w:val="22"/>
                <w:szCs w:val="22"/>
              </w:rPr>
              <w:t>In such contexts</w:t>
            </w:r>
            <w:r w:rsidR="008D7D17">
              <w:rPr>
                <w:rFonts w:asciiTheme="minorHAnsi" w:hAnsiTheme="minorHAnsi" w:cstheme="minorHAnsi"/>
                <w:iCs/>
                <w:sz w:val="22"/>
                <w:szCs w:val="22"/>
              </w:rPr>
              <w:t>,</w:t>
            </w:r>
            <w:r>
              <w:rPr>
                <w:rFonts w:asciiTheme="minorHAnsi" w:hAnsiTheme="minorHAnsi" w:cstheme="minorHAnsi"/>
                <w:iCs/>
                <w:sz w:val="22"/>
                <w:szCs w:val="22"/>
              </w:rPr>
              <w:t xml:space="preserve"> c</w:t>
            </w:r>
            <w:r w:rsidRPr="00F87B29">
              <w:rPr>
                <w:rFonts w:asciiTheme="minorHAnsi" w:hAnsiTheme="minorHAnsi" w:cstheme="minorHAnsi"/>
                <w:iCs/>
                <w:sz w:val="22"/>
                <w:szCs w:val="22"/>
              </w:rPr>
              <w:t>onflicts often arise not from resource scarcity but from disputes over who controls land, who benefits, and who has a</w:t>
            </w:r>
            <w:r w:rsidR="00742167">
              <w:rPr>
                <w:rFonts w:asciiTheme="minorHAnsi" w:hAnsiTheme="minorHAnsi" w:cstheme="minorHAnsi"/>
                <w:iCs/>
                <w:sz w:val="22"/>
                <w:szCs w:val="22"/>
              </w:rPr>
              <w:t>uthority</w:t>
            </w:r>
            <w:r w:rsidRPr="00F87B29">
              <w:rPr>
                <w:rFonts w:asciiTheme="minorHAnsi" w:hAnsiTheme="minorHAnsi" w:cstheme="minorHAnsi"/>
                <w:iCs/>
                <w:sz w:val="22"/>
                <w:szCs w:val="22"/>
              </w:rPr>
              <w:t xml:space="preserve"> in decision</w:t>
            </w:r>
            <w:r w:rsidR="00742167">
              <w:rPr>
                <w:rFonts w:asciiTheme="minorHAnsi" w:hAnsiTheme="minorHAnsi" w:cstheme="minorHAnsi"/>
                <w:iCs/>
                <w:sz w:val="22"/>
                <w:szCs w:val="22"/>
              </w:rPr>
              <w:t xml:space="preserve"> </w:t>
            </w:r>
            <w:r w:rsidR="00A81BCE">
              <w:rPr>
                <w:rFonts w:asciiTheme="minorHAnsi" w:hAnsiTheme="minorHAnsi" w:cstheme="minorHAnsi"/>
                <w:iCs/>
                <w:sz w:val="22"/>
                <w:szCs w:val="22"/>
              </w:rPr>
              <w:t>making</w:t>
            </w:r>
            <w:r w:rsidRPr="00F87B29">
              <w:rPr>
                <w:rFonts w:asciiTheme="minorHAnsi" w:hAnsiTheme="minorHAnsi" w:cstheme="minorHAnsi"/>
                <w:iCs/>
                <w:sz w:val="22"/>
                <w:szCs w:val="22"/>
              </w:rPr>
              <w:t>.</w:t>
            </w:r>
            <w:r>
              <w:rPr>
                <w:rFonts w:asciiTheme="minorHAnsi" w:hAnsiTheme="minorHAnsi" w:cstheme="minorHAnsi"/>
                <w:iCs/>
                <w:sz w:val="22"/>
                <w:szCs w:val="22"/>
              </w:rPr>
              <w:t xml:space="preserve"> Evidence shows that failure to recogni</w:t>
            </w:r>
            <w:r w:rsidR="008D7D17">
              <w:rPr>
                <w:rFonts w:asciiTheme="minorHAnsi" w:hAnsiTheme="minorHAnsi" w:cstheme="minorHAnsi"/>
                <w:iCs/>
                <w:sz w:val="22"/>
                <w:szCs w:val="22"/>
              </w:rPr>
              <w:t>s</w:t>
            </w:r>
            <w:r>
              <w:rPr>
                <w:rFonts w:asciiTheme="minorHAnsi" w:hAnsiTheme="minorHAnsi" w:cstheme="minorHAnsi"/>
                <w:iCs/>
                <w:sz w:val="22"/>
                <w:szCs w:val="22"/>
              </w:rPr>
              <w:t xml:space="preserve">e </w:t>
            </w:r>
            <w:r w:rsidR="008D7D17">
              <w:rPr>
                <w:rFonts w:asciiTheme="minorHAnsi" w:hAnsiTheme="minorHAnsi" w:cstheme="minorHAnsi"/>
                <w:iCs/>
                <w:sz w:val="22"/>
                <w:szCs w:val="22"/>
              </w:rPr>
              <w:t xml:space="preserve">the </w:t>
            </w:r>
            <w:r>
              <w:rPr>
                <w:rFonts w:asciiTheme="minorHAnsi" w:hAnsiTheme="minorHAnsi" w:cstheme="minorHAnsi"/>
                <w:iCs/>
                <w:sz w:val="22"/>
                <w:szCs w:val="22"/>
              </w:rPr>
              <w:t xml:space="preserve">community’s territorial rights undermines poverty reduction efforts and reduces the likelihood that extractive projects will deliver sustainable development outcomes </w:t>
            </w:r>
            <w:r w:rsidRPr="00BA28C6">
              <w:rPr>
                <w:rFonts w:asciiTheme="minorHAnsi" w:hAnsiTheme="minorHAnsi" w:cstheme="minorHAnsi"/>
                <w:iCs/>
                <w:sz w:val="22"/>
                <w:szCs w:val="22"/>
              </w:rPr>
              <w:fldChar w:fldCharType="begin"/>
            </w:r>
            <w:r w:rsidRPr="00BA28C6">
              <w:rPr>
                <w:rFonts w:asciiTheme="minorHAnsi" w:hAnsiTheme="minorHAnsi" w:cstheme="minorHAnsi"/>
                <w:iCs/>
                <w:sz w:val="22"/>
                <w:szCs w:val="22"/>
              </w:rPr>
              <w:instrText xml:space="preserve"> ADDIN ZOTERO_ITEM CSL_CITATION {"citationID":"TboNy2kV","properties":{"unsorted":false,"formattedCitation":"(IWGIA, 2017)","plainCitation":"(IWGIA, 2017)","noteIndex":0},"citationItems":[{"id":202,"uris":["http://zotero.org/users/11681747/items/Y9IZTR2F"],"itemData":{"id":202,"type":"report","ISBN":"978-87-92786-76-0","language":"en","note":"OCLC: 1000178049","publisher":"IWGIA ; African Commission on Human and Peoples' Rights","publisher-place":"Copenhagen, Banjul","source":"Open WorldCat","title":"Extractive industries, land rights and indigenous populations', communities' rights: East, Central and Southern Africa = Industries extractives, droits fonciers et droits des populations, communautés autochtones","title-short":"Extractive industries, land rights and indigenous populations', communities' rights","author":[{"family":"IWGIA","given":""}],"issued":{"date-parts":[["2017"]]}}}],"schema":"https://github.com/citation-style-language/schema/raw/master/csl-citation.json"} </w:instrText>
            </w:r>
            <w:r w:rsidRPr="00BA28C6">
              <w:rPr>
                <w:rFonts w:asciiTheme="minorHAnsi" w:hAnsiTheme="minorHAnsi" w:cstheme="minorHAnsi"/>
                <w:iCs/>
                <w:sz w:val="22"/>
                <w:szCs w:val="22"/>
              </w:rPr>
              <w:fldChar w:fldCharType="separate"/>
            </w:r>
            <w:r w:rsidRPr="00BA28C6">
              <w:rPr>
                <w:rFonts w:asciiTheme="minorHAnsi" w:hAnsiTheme="minorHAnsi" w:cstheme="minorHAnsi"/>
                <w:sz w:val="22"/>
              </w:rPr>
              <w:t>(IWGIA, 2017)</w:t>
            </w:r>
            <w:r w:rsidRPr="00BA28C6">
              <w:rPr>
                <w:rFonts w:asciiTheme="minorHAnsi" w:hAnsiTheme="minorHAnsi" w:cstheme="minorHAnsi"/>
                <w:iCs/>
                <w:sz w:val="22"/>
                <w:szCs w:val="22"/>
              </w:rPr>
              <w:fldChar w:fldCharType="end"/>
            </w:r>
            <w:r w:rsidR="00B15260">
              <w:rPr>
                <w:rFonts w:asciiTheme="minorHAnsi" w:hAnsiTheme="minorHAnsi" w:cstheme="minorHAnsi"/>
                <w:iCs/>
                <w:sz w:val="22"/>
                <w:szCs w:val="22"/>
              </w:rPr>
              <w:t>.</w:t>
            </w:r>
          </w:p>
          <w:p w14:paraId="63A340C5" w14:textId="023A349E" w:rsidR="005D6EA4" w:rsidRDefault="00F12F3E" w:rsidP="005D6EA4">
            <w:pPr>
              <w:pStyle w:val="BulletPoints"/>
              <w:numPr>
                <w:ilvl w:val="0"/>
                <w:numId w:val="0"/>
              </w:numPr>
              <w:spacing w:after="0"/>
              <w:ind w:firstLine="340"/>
              <w:rPr>
                <w:rFonts w:asciiTheme="minorHAnsi" w:hAnsiTheme="minorHAnsi" w:cstheme="minorHAnsi"/>
                <w:iCs/>
                <w:sz w:val="22"/>
                <w:szCs w:val="22"/>
              </w:rPr>
            </w:pPr>
            <w:r w:rsidRPr="00D813C9">
              <w:rPr>
                <w:rFonts w:asciiTheme="minorHAnsi" w:hAnsiTheme="minorHAnsi" w:cstheme="minorHAnsi"/>
                <w:iCs/>
                <w:sz w:val="22"/>
                <w:szCs w:val="22"/>
              </w:rPr>
              <w:t>Th</w:t>
            </w:r>
            <w:r>
              <w:rPr>
                <w:rFonts w:asciiTheme="minorHAnsi" w:hAnsiTheme="minorHAnsi" w:cstheme="minorHAnsi"/>
                <w:iCs/>
                <w:sz w:val="22"/>
                <w:szCs w:val="22"/>
              </w:rPr>
              <w:t>e</w:t>
            </w:r>
            <w:r w:rsidRPr="00D813C9">
              <w:rPr>
                <w:rFonts w:asciiTheme="minorHAnsi" w:hAnsiTheme="minorHAnsi" w:cstheme="minorHAnsi"/>
                <w:iCs/>
                <w:sz w:val="22"/>
                <w:szCs w:val="22"/>
              </w:rPr>
              <w:t xml:space="preserve"> governance </w:t>
            </w:r>
            <w:r>
              <w:rPr>
                <w:rFonts w:asciiTheme="minorHAnsi" w:hAnsiTheme="minorHAnsi" w:cstheme="minorHAnsi"/>
                <w:iCs/>
                <w:sz w:val="22"/>
                <w:szCs w:val="22"/>
              </w:rPr>
              <w:t xml:space="preserve">arrangements observed </w:t>
            </w:r>
            <w:r w:rsidRPr="00D813C9">
              <w:rPr>
                <w:rFonts w:asciiTheme="minorHAnsi" w:hAnsiTheme="minorHAnsi" w:cstheme="minorHAnsi"/>
                <w:iCs/>
                <w:sz w:val="22"/>
                <w:szCs w:val="22"/>
              </w:rPr>
              <w:t xml:space="preserve">in Turkana </w:t>
            </w:r>
            <w:r>
              <w:rPr>
                <w:rFonts w:asciiTheme="minorHAnsi" w:hAnsiTheme="minorHAnsi" w:cstheme="minorHAnsi"/>
                <w:iCs/>
                <w:sz w:val="22"/>
                <w:szCs w:val="22"/>
              </w:rPr>
              <w:t xml:space="preserve">are generating </w:t>
            </w:r>
            <w:r w:rsidRPr="00D813C9">
              <w:rPr>
                <w:rFonts w:asciiTheme="minorHAnsi" w:hAnsiTheme="minorHAnsi" w:cstheme="minorHAnsi"/>
                <w:iCs/>
                <w:sz w:val="22"/>
                <w:szCs w:val="22"/>
              </w:rPr>
              <w:t>developmental problems</w:t>
            </w:r>
            <w:r>
              <w:rPr>
                <w:rFonts w:asciiTheme="minorHAnsi" w:hAnsiTheme="minorHAnsi" w:cstheme="minorHAnsi"/>
                <w:iCs/>
                <w:sz w:val="22"/>
                <w:szCs w:val="22"/>
              </w:rPr>
              <w:t xml:space="preserve"> that are avoidable. R</w:t>
            </w:r>
            <w:r w:rsidRPr="00D813C9">
              <w:rPr>
                <w:rFonts w:asciiTheme="minorHAnsi" w:hAnsiTheme="minorHAnsi" w:cstheme="minorHAnsi"/>
                <w:iCs/>
                <w:sz w:val="22"/>
                <w:szCs w:val="22"/>
              </w:rPr>
              <w:t>epeated disputes over land and compensation</w:t>
            </w:r>
            <w:r>
              <w:rPr>
                <w:rFonts w:asciiTheme="minorHAnsi" w:hAnsiTheme="minorHAnsi" w:cstheme="minorHAnsi"/>
                <w:iCs/>
                <w:sz w:val="22"/>
                <w:szCs w:val="22"/>
              </w:rPr>
              <w:t>,</w:t>
            </w:r>
            <w:r w:rsidRPr="00D813C9">
              <w:rPr>
                <w:rFonts w:asciiTheme="minorHAnsi" w:hAnsiTheme="minorHAnsi" w:cstheme="minorHAnsi"/>
                <w:iCs/>
                <w:sz w:val="22"/>
                <w:szCs w:val="22"/>
              </w:rPr>
              <w:t xml:space="preserve"> persistent mistrust between communities, the state and companies</w:t>
            </w:r>
            <w:r>
              <w:rPr>
                <w:rFonts w:asciiTheme="minorHAnsi" w:hAnsiTheme="minorHAnsi" w:cstheme="minorHAnsi"/>
                <w:iCs/>
                <w:sz w:val="22"/>
                <w:szCs w:val="22"/>
              </w:rPr>
              <w:t xml:space="preserve">, and </w:t>
            </w:r>
            <w:r w:rsidRPr="00D813C9">
              <w:rPr>
                <w:rFonts w:asciiTheme="minorHAnsi" w:hAnsiTheme="minorHAnsi" w:cstheme="minorHAnsi"/>
                <w:iCs/>
                <w:sz w:val="22"/>
                <w:szCs w:val="22"/>
              </w:rPr>
              <w:t xml:space="preserve">operational disruptions and delays </w:t>
            </w:r>
            <w:r>
              <w:rPr>
                <w:rFonts w:asciiTheme="minorHAnsi" w:hAnsiTheme="minorHAnsi" w:cstheme="minorHAnsi"/>
                <w:iCs/>
                <w:sz w:val="22"/>
                <w:szCs w:val="22"/>
              </w:rPr>
              <w:t xml:space="preserve">increase </w:t>
            </w:r>
            <w:r w:rsidRPr="00F01C46">
              <w:rPr>
                <w:rFonts w:asciiTheme="minorHAnsi" w:hAnsiTheme="minorHAnsi" w:cstheme="minorHAnsi"/>
                <w:iCs/>
                <w:sz w:val="22"/>
                <w:szCs w:val="22"/>
              </w:rPr>
              <w:t xml:space="preserve">developmental </w:t>
            </w:r>
            <w:r w:rsidRPr="00D813C9">
              <w:rPr>
                <w:rFonts w:asciiTheme="minorHAnsi" w:hAnsiTheme="minorHAnsi" w:cstheme="minorHAnsi"/>
                <w:iCs/>
                <w:sz w:val="22"/>
                <w:szCs w:val="22"/>
              </w:rPr>
              <w:t xml:space="preserve">costs and undermine </w:t>
            </w:r>
            <w:r>
              <w:rPr>
                <w:rFonts w:asciiTheme="minorHAnsi" w:hAnsiTheme="minorHAnsi" w:cstheme="minorHAnsi"/>
                <w:iCs/>
                <w:sz w:val="22"/>
                <w:szCs w:val="22"/>
              </w:rPr>
              <w:t>both</w:t>
            </w:r>
            <w:r w:rsidRPr="00F01C46">
              <w:rPr>
                <w:rFonts w:asciiTheme="minorHAnsi" w:hAnsiTheme="minorHAnsi" w:cstheme="minorHAnsi"/>
                <w:iCs/>
                <w:sz w:val="22"/>
                <w:szCs w:val="22"/>
              </w:rPr>
              <w:t xml:space="preserve"> project viability </w:t>
            </w:r>
            <w:r>
              <w:rPr>
                <w:rFonts w:asciiTheme="minorHAnsi" w:hAnsiTheme="minorHAnsi" w:cstheme="minorHAnsi"/>
                <w:iCs/>
                <w:sz w:val="22"/>
                <w:szCs w:val="22"/>
              </w:rPr>
              <w:t>and broader</w:t>
            </w:r>
            <w:r w:rsidRPr="00F01C46">
              <w:rPr>
                <w:rFonts w:asciiTheme="minorHAnsi" w:hAnsiTheme="minorHAnsi" w:cstheme="minorHAnsi"/>
                <w:iCs/>
                <w:sz w:val="22"/>
                <w:szCs w:val="22"/>
              </w:rPr>
              <w:t xml:space="preserve"> </w:t>
            </w:r>
            <w:r w:rsidRPr="00D813C9">
              <w:rPr>
                <w:rFonts w:asciiTheme="minorHAnsi" w:hAnsiTheme="minorHAnsi" w:cstheme="minorHAnsi"/>
                <w:iCs/>
                <w:sz w:val="22"/>
                <w:szCs w:val="22"/>
              </w:rPr>
              <w:t xml:space="preserve">development goals. </w:t>
            </w:r>
          </w:p>
          <w:p w14:paraId="37F934BE" w14:textId="0E014A92" w:rsidR="006344A5" w:rsidRPr="00E47533" w:rsidRDefault="005D6EA4" w:rsidP="00E47533">
            <w:pPr>
              <w:pStyle w:val="BulletPoints"/>
              <w:numPr>
                <w:ilvl w:val="0"/>
                <w:numId w:val="0"/>
              </w:numPr>
              <w:spacing w:after="0"/>
              <w:ind w:firstLine="340"/>
              <w:rPr>
                <w:rFonts w:asciiTheme="minorHAnsi" w:hAnsiTheme="minorHAnsi" w:cstheme="minorHAnsi"/>
                <w:iCs/>
                <w:sz w:val="22"/>
                <w:szCs w:val="22"/>
              </w:rPr>
            </w:pPr>
            <w:r w:rsidRPr="005D6EA4">
              <w:rPr>
                <w:rFonts w:asciiTheme="minorHAnsi" w:hAnsiTheme="minorHAnsi" w:cstheme="minorHAnsi"/>
                <w:iCs/>
                <w:sz w:val="22"/>
                <w:szCs w:val="22"/>
              </w:rPr>
              <w:t>The findings provide practical lessons for marginalised, emerging extractive frontiers w</w:t>
            </w:r>
            <w:r w:rsidR="000858BC">
              <w:rPr>
                <w:rFonts w:asciiTheme="minorHAnsi" w:hAnsiTheme="minorHAnsi" w:cstheme="minorHAnsi"/>
                <w:iCs/>
                <w:sz w:val="22"/>
                <w:szCs w:val="22"/>
              </w:rPr>
              <w:t>ith</w:t>
            </w:r>
            <w:r w:rsidRPr="005D6EA4">
              <w:rPr>
                <w:rFonts w:asciiTheme="minorHAnsi" w:hAnsiTheme="minorHAnsi" w:cstheme="minorHAnsi"/>
                <w:iCs/>
                <w:sz w:val="22"/>
                <w:szCs w:val="22"/>
              </w:rPr>
              <w:t xml:space="preserve"> similar governance conditions of centralised authority, insecure land rights, and weak local accountability. They help identify governance problems, inform the sequencing of reforms, and support the design of more adaptive interventions to development approaches</w:t>
            </w:r>
            <w:r w:rsidR="003235A4">
              <w:rPr>
                <w:rFonts w:asciiTheme="minorHAnsi" w:hAnsiTheme="minorHAnsi" w:cstheme="minorHAnsi"/>
                <w:iCs/>
                <w:sz w:val="22"/>
                <w:szCs w:val="22"/>
              </w:rPr>
              <w:t xml:space="preserve"> (</w:t>
            </w:r>
            <w:r w:rsidR="0038691D" w:rsidRPr="006221F3">
              <w:rPr>
                <w:rFonts w:asciiTheme="minorHAnsi" w:hAnsiTheme="minorHAnsi" w:cstheme="minorHAnsi"/>
                <w:i/>
                <w:sz w:val="22"/>
                <w:szCs w:val="22"/>
              </w:rPr>
              <w:t xml:space="preserve">see </w:t>
            </w:r>
            <w:r w:rsidR="006F5CB9">
              <w:rPr>
                <w:rFonts w:asciiTheme="minorHAnsi" w:hAnsiTheme="minorHAnsi" w:cstheme="minorHAnsi"/>
                <w:i/>
                <w:sz w:val="22"/>
                <w:szCs w:val="22"/>
              </w:rPr>
              <w:t>A</w:t>
            </w:r>
            <w:r w:rsidR="006F5CB9" w:rsidRPr="006F5CB9">
              <w:rPr>
                <w:rFonts w:asciiTheme="minorHAnsi" w:hAnsiTheme="minorHAnsi" w:cstheme="minorHAnsi"/>
                <w:i/>
                <w:sz w:val="22"/>
                <w:szCs w:val="22"/>
              </w:rPr>
              <w:t>ppendix A</w:t>
            </w:r>
            <w:r w:rsidR="00CA2877">
              <w:rPr>
                <w:rFonts w:asciiTheme="minorHAnsi" w:hAnsiTheme="minorHAnsi" w:cstheme="minorHAnsi"/>
                <w:i/>
                <w:iCs/>
                <w:sz w:val="22"/>
                <w:szCs w:val="22"/>
              </w:rPr>
              <w:t>, T</w:t>
            </w:r>
            <w:r w:rsidR="004440A4">
              <w:rPr>
                <w:rFonts w:asciiTheme="minorHAnsi" w:hAnsiTheme="minorHAnsi" w:cstheme="minorHAnsi"/>
                <w:i/>
                <w:sz w:val="22"/>
                <w:szCs w:val="22"/>
              </w:rPr>
              <w:t xml:space="preserve">able </w:t>
            </w:r>
            <w:r w:rsidR="00552C59">
              <w:rPr>
                <w:rFonts w:asciiTheme="minorHAnsi" w:hAnsiTheme="minorHAnsi" w:cstheme="minorHAnsi"/>
                <w:i/>
                <w:sz w:val="22"/>
                <w:szCs w:val="22"/>
              </w:rPr>
              <w:t>A</w:t>
            </w:r>
            <w:r w:rsidR="00432D2E">
              <w:rPr>
                <w:rFonts w:asciiTheme="minorHAnsi" w:hAnsiTheme="minorHAnsi" w:cstheme="minorHAnsi"/>
                <w:i/>
                <w:sz w:val="22"/>
                <w:szCs w:val="22"/>
              </w:rPr>
              <w:t>1</w:t>
            </w:r>
            <w:r w:rsidR="00CA2877">
              <w:rPr>
                <w:rFonts w:asciiTheme="minorHAnsi" w:hAnsiTheme="minorHAnsi" w:cstheme="minorHAnsi"/>
                <w:i/>
                <w:sz w:val="22"/>
                <w:szCs w:val="22"/>
              </w:rPr>
              <w:t>)</w:t>
            </w:r>
          </w:p>
        </w:tc>
      </w:tr>
      <w:tr w:rsidR="006344A5" w14:paraId="37F934C7" w14:textId="77777777" w:rsidTr="00831C12">
        <w:tc>
          <w:tcPr>
            <w:tcW w:w="5103" w:type="dxa"/>
          </w:tcPr>
          <w:p w14:paraId="08AEF9B5" w14:textId="4E38ED81" w:rsidR="00623DDC" w:rsidRDefault="00A57E7D" w:rsidP="00EA7790">
            <w:pPr>
              <w:pStyle w:val="BulletPoints"/>
              <w:numPr>
                <w:ilvl w:val="0"/>
                <w:numId w:val="0"/>
              </w:numPr>
              <w:ind w:firstLine="340"/>
              <w:rPr>
                <w:rFonts w:asciiTheme="minorHAnsi" w:hAnsiTheme="minorHAnsi" w:cstheme="minorHAnsi"/>
                <w:iCs/>
                <w:sz w:val="22"/>
                <w:szCs w:val="22"/>
              </w:rPr>
            </w:pPr>
            <w:r w:rsidRPr="00A57E7D">
              <w:rPr>
                <w:rFonts w:asciiTheme="minorHAnsi" w:hAnsiTheme="minorHAnsi" w:cstheme="minorHAnsi"/>
                <w:iCs/>
                <w:sz w:val="22"/>
                <w:szCs w:val="22"/>
              </w:rPr>
              <w:lastRenderedPageBreak/>
              <w:t>Addressing these challenges requires changes in when key decisions are made, who has authority over them, how community rights and interests are recognised, and how commitments are monitored and enforced</w:t>
            </w:r>
            <w:r w:rsidR="00741233" w:rsidRPr="00741233">
              <w:rPr>
                <w:rFonts w:asciiTheme="minorHAnsi" w:hAnsiTheme="minorHAnsi" w:cstheme="minorHAnsi"/>
                <w:iCs/>
                <w:sz w:val="22"/>
                <w:szCs w:val="22"/>
              </w:rPr>
              <w:t>.</w:t>
            </w:r>
            <w:r w:rsidR="00741233" w:rsidRPr="00741233">
              <w:rPr>
                <w:rFonts w:asciiTheme="minorHAnsi" w:hAnsiTheme="minorHAnsi" w:cstheme="minorHAnsi"/>
                <w:iCs/>
                <w:szCs w:val="22"/>
              </w:rPr>
              <w:t xml:space="preserve"> </w:t>
            </w:r>
            <w:r w:rsidR="00623DDC" w:rsidRPr="00623DDC">
              <w:rPr>
                <w:rFonts w:asciiTheme="minorHAnsi" w:hAnsiTheme="minorHAnsi" w:cstheme="minorHAnsi"/>
                <w:iCs/>
                <w:sz w:val="22"/>
                <w:szCs w:val="22"/>
              </w:rPr>
              <w:t xml:space="preserve">For </w:t>
            </w:r>
            <w:r w:rsidR="00F7374D">
              <w:rPr>
                <w:rFonts w:asciiTheme="minorHAnsi" w:hAnsiTheme="minorHAnsi" w:cstheme="minorHAnsi"/>
                <w:iCs/>
                <w:sz w:val="22"/>
                <w:szCs w:val="22"/>
              </w:rPr>
              <w:t xml:space="preserve">oil </w:t>
            </w:r>
            <w:r w:rsidR="00623DDC" w:rsidRPr="00623DDC">
              <w:rPr>
                <w:rFonts w:asciiTheme="minorHAnsi" w:hAnsiTheme="minorHAnsi" w:cstheme="minorHAnsi"/>
                <w:iCs/>
                <w:sz w:val="22"/>
                <w:szCs w:val="22"/>
              </w:rPr>
              <w:t xml:space="preserve">development to </w:t>
            </w:r>
            <w:r w:rsidR="00C6723D">
              <w:rPr>
                <w:rFonts w:asciiTheme="minorHAnsi" w:hAnsiTheme="minorHAnsi" w:cstheme="minorHAnsi"/>
                <w:iCs/>
                <w:sz w:val="22"/>
                <w:szCs w:val="22"/>
              </w:rPr>
              <w:t>contribute to</w:t>
            </w:r>
            <w:r w:rsidR="00623DDC" w:rsidRPr="00623DDC">
              <w:rPr>
                <w:rFonts w:asciiTheme="minorHAnsi" w:hAnsiTheme="minorHAnsi" w:cstheme="minorHAnsi"/>
                <w:iCs/>
                <w:sz w:val="22"/>
                <w:szCs w:val="22"/>
              </w:rPr>
              <w:t xml:space="preserve"> inclusive and sustainable</w:t>
            </w:r>
            <w:r w:rsidR="00195763">
              <w:rPr>
                <w:rFonts w:asciiTheme="minorHAnsi" w:hAnsiTheme="minorHAnsi" w:cstheme="minorHAnsi"/>
                <w:iCs/>
                <w:sz w:val="22"/>
                <w:szCs w:val="22"/>
              </w:rPr>
              <w:t xml:space="preserve"> outcomes</w:t>
            </w:r>
            <w:r w:rsidR="00623DDC" w:rsidRPr="00623DDC">
              <w:rPr>
                <w:rFonts w:asciiTheme="minorHAnsi" w:hAnsiTheme="minorHAnsi" w:cstheme="minorHAnsi"/>
                <w:iCs/>
                <w:sz w:val="22"/>
                <w:szCs w:val="22"/>
              </w:rPr>
              <w:t xml:space="preserve">, </w:t>
            </w:r>
            <w:r w:rsidR="008D0548">
              <w:rPr>
                <w:rFonts w:asciiTheme="minorHAnsi" w:hAnsiTheme="minorHAnsi" w:cstheme="minorHAnsi"/>
                <w:iCs/>
                <w:sz w:val="22"/>
                <w:szCs w:val="22"/>
              </w:rPr>
              <w:t xml:space="preserve">the </w:t>
            </w:r>
            <w:r w:rsidR="005E3B3D" w:rsidRPr="00741233">
              <w:rPr>
                <w:rFonts w:asciiTheme="minorHAnsi" w:hAnsiTheme="minorHAnsi" w:cstheme="minorHAnsi"/>
                <w:iCs/>
                <w:sz w:val="22"/>
                <w:szCs w:val="22"/>
              </w:rPr>
              <w:t xml:space="preserve">following </w:t>
            </w:r>
            <w:r w:rsidR="00195763">
              <w:rPr>
                <w:rFonts w:asciiTheme="minorHAnsi" w:hAnsiTheme="minorHAnsi" w:cstheme="minorHAnsi"/>
                <w:iCs/>
                <w:sz w:val="22"/>
                <w:szCs w:val="22"/>
              </w:rPr>
              <w:t xml:space="preserve">governance </w:t>
            </w:r>
            <w:r w:rsidR="00A6085A">
              <w:rPr>
                <w:rFonts w:asciiTheme="minorHAnsi" w:hAnsiTheme="minorHAnsi" w:cstheme="minorHAnsi"/>
                <w:iCs/>
                <w:sz w:val="22"/>
                <w:szCs w:val="22"/>
              </w:rPr>
              <w:t>shifts are critical</w:t>
            </w:r>
            <w:r w:rsidR="005A62C0">
              <w:rPr>
                <w:rFonts w:asciiTheme="minorHAnsi" w:hAnsiTheme="minorHAnsi" w:cstheme="minorHAnsi"/>
                <w:iCs/>
                <w:sz w:val="22"/>
                <w:szCs w:val="22"/>
              </w:rPr>
              <w:t>:</w:t>
            </w:r>
          </w:p>
          <w:p w14:paraId="534F69B4" w14:textId="277995FE" w:rsidR="00420A3B" w:rsidRPr="00C765D0" w:rsidRDefault="00FD04CC" w:rsidP="00B07CE8">
            <w:pPr>
              <w:pStyle w:val="BulletPoints"/>
              <w:numPr>
                <w:ilvl w:val="0"/>
                <w:numId w:val="7"/>
              </w:numPr>
              <w:ind w:left="346" w:hanging="270"/>
              <w:rPr>
                <w:rFonts w:asciiTheme="minorHAnsi" w:hAnsiTheme="minorHAnsi" w:cstheme="minorHAnsi"/>
                <w:b/>
                <w:bCs/>
                <w:iCs/>
                <w:sz w:val="22"/>
                <w:szCs w:val="22"/>
              </w:rPr>
            </w:pPr>
            <w:r w:rsidRPr="00C765D0">
              <w:rPr>
                <w:rFonts w:asciiTheme="minorHAnsi" w:hAnsiTheme="minorHAnsi" w:cstheme="minorHAnsi"/>
                <w:b/>
                <w:bCs/>
                <w:iCs/>
                <w:sz w:val="22"/>
                <w:szCs w:val="22"/>
              </w:rPr>
              <w:t>Secure Community Land Rights Before Project Expansion</w:t>
            </w:r>
          </w:p>
          <w:p w14:paraId="5AE6286D" w14:textId="43CDFEC9" w:rsidR="00632686" w:rsidRDefault="00CC22E8" w:rsidP="00C765D0">
            <w:pPr>
              <w:pStyle w:val="BulletPoints"/>
              <w:numPr>
                <w:ilvl w:val="0"/>
                <w:numId w:val="0"/>
              </w:numPr>
              <w:spacing w:after="0"/>
            </w:pPr>
            <w:r>
              <w:rPr>
                <w:rFonts w:asciiTheme="minorHAnsi" w:hAnsiTheme="minorHAnsi" w:cstheme="minorHAnsi"/>
                <w:iCs/>
                <w:sz w:val="22"/>
                <w:szCs w:val="22"/>
              </w:rPr>
              <w:t>Community l</w:t>
            </w:r>
            <w:r w:rsidR="00EE0317" w:rsidRPr="00EE0317">
              <w:rPr>
                <w:rFonts w:asciiTheme="minorHAnsi" w:hAnsiTheme="minorHAnsi" w:cstheme="minorHAnsi"/>
                <w:iCs/>
                <w:sz w:val="22"/>
                <w:szCs w:val="22"/>
              </w:rPr>
              <w:t>and registration and transparent land access</w:t>
            </w:r>
            <w:r w:rsidR="00EE0317">
              <w:rPr>
                <w:rFonts w:asciiTheme="minorHAnsi" w:hAnsiTheme="minorHAnsi" w:cstheme="minorHAnsi"/>
                <w:iCs/>
                <w:sz w:val="22"/>
                <w:szCs w:val="22"/>
              </w:rPr>
              <w:t xml:space="preserve"> </w:t>
            </w:r>
            <w:r w:rsidR="00EE0317" w:rsidRPr="00EE0317">
              <w:rPr>
                <w:rFonts w:asciiTheme="minorHAnsi" w:hAnsiTheme="minorHAnsi" w:cstheme="minorHAnsi"/>
                <w:iCs/>
                <w:sz w:val="22"/>
                <w:szCs w:val="22"/>
              </w:rPr>
              <w:t xml:space="preserve">processes </w:t>
            </w:r>
            <w:r w:rsidR="00A466BF">
              <w:rPr>
                <w:rFonts w:asciiTheme="minorHAnsi" w:hAnsiTheme="minorHAnsi" w:cstheme="minorHAnsi"/>
                <w:iCs/>
                <w:sz w:val="22"/>
                <w:szCs w:val="22"/>
              </w:rPr>
              <w:t>should be completed before</w:t>
            </w:r>
            <w:r w:rsidR="00EE0317" w:rsidRPr="00EE0317">
              <w:rPr>
                <w:rFonts w:asciiTheme="minorHAnsi" w:hAnsiTheme="minorHAnsi" w:cstheme="minorHAnsi"/>
                <w:iCs/>
                <w:sz w:val="22"/>
                <w:szCs w:val="22"/>
              </w:rPr>
              <w:t xml:space="preserve"> licensing, infrastructure development</w:t>
            </w:r>
            <w:r w:rsidR="00A466BF">
              <w:rPr>
                <w:rFonts w:asciiTheme="minorHAnsi" w:hAnsiTheme="minorHAnsi" w:cstheme="minorHAnsi"/>
                <w:iCs/>
                <w:sz w:val="22"/>
                <w:szCs w:val="22"/>
              </w:rPr>
              <w:t xml:space="preserve"> or </w:t>
            </w:r>
            <w:r w:rsidR="00EE0317" w:rsidRPr="00EE0317">
              <w:rPr>
                <w:rFonts w:asciiTheme="minorHAnsi" w:hAnsiTheme="minorHAnsi" w:cstheme="minorHAnsi"/>
                <w:iCs/>
                <w:sz w:val="22"/>
                <w:szCs w:val="22"/>
              </w:rPr>
              <w:t>production timelines</w:t>
            </w:r>
            <w:r w:rsidR="001F5FBD">
              <w:rPr>
                <w:rFonts w:asciiTheme="minorHAnsi" w:hAnsiTheme="minorHAnsi" w:cstheme="minorHAnsi"/>
                <w:iCs/>
                <w:sz w:val="22"/>
                <w:szCs w:val="22"/>
              </w:rPr>
              <w:t xml:space="preserve"> are approved</w:t>
            </w:r>
            <w:r w:rsidR="00EE0317" w:rsidRPr="00EE0317">
              <w:rPr>
                <w:rFonts w:asciiTheme="minorHAnsi" w:hAnsiTheme="minorHAnsi" w:cstheme="minorHAnsi"/>
                <w:iCs/>
                <w:sz w:val="22"/>
                <w:szCs w:val="22"/>
              </w:rPr>
              <w:t>.</w:t>
            </w:r>
            <w:r w:rsidR="00587A14">
              <w:rPr>
                <w:rFonts w:asciiTheme="minorHAnsi" w:hAnsiTheme="minorHAnsi" w:cstheme="minorHAnsi"/>
                <w:iCs/>
                <w:sz w:val="22"/>
                <w:szCs w:val="22"/>
              </w:rPr>
              <w:t xml:space="preserve"> </w:t>
            </w:r>
            <w:r w:rsidR="00587A14" w:rsidRPr="00587A14">
              <w:rPr>
                <w:rFonts w:asciiTheme="minorHAnsi" w:hAnsiTheme="minorHAnsi" w:cstheme="minorHAnsi"/>
                <w:iCs/>
                <w:sz w:val="22"/>
                <w:szCs w:val="22"/>
              </w:rPr>
              <w:t>In pastoral regions</w:t>
            </w:r>
            <w:r w:rsidR="001F5FBD">
              <w:rPr>
                <w:rFonts w:asciiTheme="minorHAnsi" w:hAnsiTheme="minorHAnsi" w:cstheme="minorHAnsi"/>
                <w:iCs/>
                <w:sz w:val="22"/>
                <w:szCs w:val="22"/>
              </w:rPr>
              <w:t xml:space="preserve"> </w:t>
            </w:r>
            <w:r w:rsidR="001F6FF5">
              <w:rPr>
                <w:rFonts w:asciiTheme="minorHAnsi" w:hAnsiTheme="minorHAnsi" w:cstheme="minorHAnsi"/>
                <w:iCs/>
                <w:sz w:val="22"/>
                <w:szCs w:val="22"/>
              </w:rPr>
              <w:t xml:space="preserve">such as </w:t>
            </w:r>
            <w:r w:rsidR="001F5FBD">
              <w:rPr>
                <w:rFonts w:asciiTheme="minorHAnsi" w:hAnsiTheme="minorHAnsi" w:cstheme="minorHAnsi"/>
                <w:iCs/>
                <w:sz w:val="22"/>
                <w:szCs w:val="22"/>
              </w:rPr>
              <w:t>Turkana</w:t>
            </w:r>
            <w:r w:rsidR="00587A14" w:rsidRPr="00587A14">
              <w:rPr>
                <w:rFonts w:asciiTheme="minorHAnsi" w:hAnsiTheme="minorHAnsi" w:cstheme="minorHAnsi"/>
                <w:iCs/>
                <w:sz w:val="22"/>
                <w:szCs w:val="22"/>
              </w:rPr>
              <w:t xml:space="preserve">, land </w:t>
            </w:r>
            <w:r w:rsidR="00C33D2A">
              <w:rPr>
                <w:rFonts w:asciiTheme="minorHAnsi" w:hAnsiTheme="minorHAnsi" w:cstheme="minorHAnsi"/>
                <w:iCs/>
                <w:sz w:val="22"/>
                <w:szCs w:val="22"/>
              </w:rPr>
              <w:t>access is essential</w:t>
            </w:r>
            <w:r w:rsidR="00587A14" w:rsidRPr="00587A14">
              <w:rPr>
                <w:rFonts w:asciiTheme="minorHAnsi" w:hAnsiTheme="minorHAnsi" w:cstheme="minorHAnsi"/>
                <w:iCs/>
                <w:sz w:val="22"/>
                <w:szCs w:val="22"/>
              </w:rPr>
              <w:t xml:space="preserve"> for </w:t>
            </w:r>
            <w:r w:rsidR="001F6FF5">
              <w:rPr>
                <w:rFonts w:asciiTheme="minorHAnsi" w:hAnsiTheme="minorHAnsi" w:cstheme="minorHAnsi"/>
                <w:iCs/>
                <w:sz w:val="22"/>
                <w:szCs w:val="22"/>
              </w:rPr>
              <w:t>livelihoods</w:t>
            </w:r>
            <w:r w:rsidR="00587A14" w:rsidRPr="00587A14">
              <w:rPr>
                <w:rFonts w:asciiTheme="minorHAnsi" w:hAnsiTheme="minorHAnsi" w:cstheme="minorHAnsi"/>
                <w:iCs/>
                <w:sz w:val="22"/>
                <w:szCs w:val="22"/>
              </w:rPr>
              <w:t>, conflict prevention, and long-term project stability.</w:t>
            </w:r>
          </w:p>
          <w:p w14:paraId="61B29992" w14:textId="205687C8" w:rsidR="00264529" w:rsidRDefault="00BD39EF" w:rsidP="003F5F1C">
            <w:pPr>
              <w:pStyle w:val="BulletPoints"/>
              <w:numPr>
                <w:ilvl w:val="0"/>
                <w:numId w:val="0"/>
              </w:numPr>
              <w:spacing w:after="0"/>
              <w:ind w:firstLine="340"/>
              <w:rPr>
                <w:rFonts w:asciiTheme="minorHAnsi" w:hAnsiTheme="minorHAnsi" w:cstheme="minorHAnsi"/>
                <w:iCs/>
                <w:sz w:val="22"/>
                <w:szCs w:val="22"/>
              </w:rPr>
            </w:pPr>
            <w:r w:rsidRPr="00BD39EF">
              <w:rPr>
                <w:rFonts w:asciiTheme="minorHAnsi" w:hAnsiTheme="minorHAnsi" w:cstheme="minorHAnsi"/>
                <w:iCs/>
                <w:sz w:val="22"/>
                <w:szCs w:val="22"/>
              </w:rPr>
              <w:t>Government and multilateral actors should prioritise accelerated community land registration and establish clear</w:t>
            </w:r>
            <w:r w:rsidR="008D7D17">
              <w:rPr>
                <w:rFonts w:asciiTheme="minorHAnsi" w:hAnsiTheme="minorHAnsi" w:cstheme="minorHAnsi"/>
                <w:iCs/>
                <w:sz w:val="22"/>
                <w:szCs w:val="22"/>
              </w:rPr>
              <w:t>,</w:t>
            </w:r>
            <w:r w:rsidRPr="00BD39EF">
              <w:rPr>
                <w:rFonts w:asciiTheme="minorHAnsi" w:hAnsiTheme="minorHAnsi" w:cstheme="minorHAnsi"/>
                <w:iCs/>
                <w:sz w:val="22"/>
                <w:szCs w:val="22"/>
              </w:rPr>
              <w:t xml:space="preserve"> transparent compensation frameworks before approving new project phases</w:t>
            </w:r>
            <w:r w:rsidR="00C96D40">
              <w:rPr>
                <w:rFonts w:asciiTheme="minorHAnsi" w:hAnsiTheme="minorHAnsi" w:cstheme="minorHAnsi"/>
                <w:iCs/>
                <w:sz w:val="22"/>
                <w:szCs w:val="22"/>
              </w:rPr>
              <w:t xml:space="preserve">. </w:t>
            </w:r>
            <w:r w:rsidRPr="00BD39EF">
              <w:rPr>
                <w:rFonts w:asciiTheme="minorHAnsi" w:hAnsiTheme="minorHAnsi" w:cstheme="minorHAnsi"/>
                <w:iCs/>
                <w:sz w:val="22"/>
                <w:szCs w:val="22"/>
              </w:rPr>
              <w:t xml:space="preserve">Development partners </w:t>
            </w:r>
            <w:r w:rsidR="00BF7063">
              <w:rPr>
                <w:rFonts w:asciiTheme="minorHAnsi" w:hAnsiTheme="minorHAnsi" w:cstheme="minorHAnsi"/>
                <w:iCs/>
                <w:sz w:val="22"/>
                <w:szCs w:val="22"/>
              </w:rPr>
              <w:t>can</w:t>
            </w:r>
            <w:r w:rsidRPr="00BD39EF">
              <w:rPr>
                <w:rFonts w:asciiTheme="minorHAnsi" w:hAnsiTheme="minorHAnsi" w:cstheme="minorHAnsi"/>
                <w:iCs/>
                <w:sz w:val="22"/>
                <w:szCs w:val="22"/>
              </w:rPr>
              <w:t xml:space="preserve"> support land mapping, legal assistance, and institutional capacity for community land governance.</w:t>
            </w:r>
          </w:p>
          <w:p w14:paraId="296D69F3" w14:textId="77777777" w:rsidR="00264529" w:rsidRDefault="00264529" w:rsidP="00264529">
            <w:pPr>
              <w:pStyle w:val="BulletPoints"/>
              <w:numPr>
                <w:ilvl w:val="0"/>
                <w:numId w:val="0"/>
              </w:numPr>
              <w:spacing w:after="0"/>
              <w:ind w:left="9234" w:hanging="720"/>
              <w:rPr>
                <w:rFonts w:asciiTheme="minorHAnsi" w:hAnsiTheme="minorHAnsi" w:cstheme="minorHAnsi"/>
                <w:iCs/>
                <w:sz w:val="22"/>
                <w:szCs w:val="22"/>
              </w:rPr>
            </w:pPr>
          </w:p>
          <w:p w14:paraId="74577FF7" w14:textId="4C722855" w:rsidR="00EE0317" w:rsidRPr="00C765D0" w:rsidRDefault="006D6441" w:rsidP="00B07CE8">
            <w:pPr>
              <w:pStyle w:val="BulletPoints"/>
              <w:numPr>
                <w:ilvl w:val="0"/>
                <w:numId w:val="7"/>
              </w:numPr>
              <w:ind w:left="346" w:hanging="270"/>
              <w:rPr>
                <w:rFonts w:asciiTheme="minorHAnsi" w:hAnsiTheme="minorHAnsi" w:cstheme="minorHAnsi"/>
                <w:b/>
                <w:bCs/>
                <w:iCs/>
                <w:sz w:val="22"/>
                <w:szCs w:val="22"/>
              </w:rPr>
            </w:pPr>
            <w:r w:rsidRPr="00C765D0">
              <w:rPr>
                <w:rFonts w:asciiTheme="minorHAnsi" w:hAnsiTheme="minorHAnsi" w:cstheme="minorHAnsi"/>
                <w:b/>
                <w:bCs/>
                <w:iCs/>
                <w:sz w:val="22"/>
                <w:szCs w:val="22"/>
              </w:rPr>
              <w:t>Shift Participation from Consultation to Shared Authority</w:t>
            </w:r>
          </w:p>
          <w:p w14:paraId="54D128E8" w14:textId="62968D38" w:rsidR="004C3EA1" w:rsidRDefault="00E21AC9" w:rsidP="004C3EA1">
            <w:pPr>
              <w:pStyle w:val="BulletPoints"/>
              <w:numPr>
                <w:ilvl w:val="0"/>
                <w:numId w:val="0"/>
              </w:numPr>
              <w:spacing w:after="0"/>
              <w:rPr>
                <w:rFonts w:asciiTheme="minorHAnsi" w:hAnsiTheme="minorHAnsi" w:cstheme="minorHAnsi"/>
                <w:iCs/>
                <w:sz w:val="22"/>
                <w:szCs w:val="22"/>
              </w:rPr>
            </w:pPr>
            <w:r w:rsidRPr="00E21AC9">
              <w:rPr>
                <w:rFonts w:asciiTheme="minorHAnsi" w:hAnsiTheme="minorHAnsi" w:cstheme="minorHAnsi"/>
                <w:iCs/>
                <w:sz w:val="22"/>
                <w:szCs w:val="22"/>
              </w:rPr>
              <w:t>Current participation processes often inform communities after</w:t>
            </w:r>
            <w:r w:rsidR="006D27AF">
              <w:rPr>
                <w:rFonts w:asciiTheme="minorHAnsi" w:hAnsiTheme="minorHAnsi" w:cstheme="minorHAnsi"/>
                <w:iCs/>
                <w:sz w:val="22"/>
                <w:szCs w:val="22"/>
              </w:rPr>
              <w:t xml:space="preserve"> key decisions </w:t>
            </w:r>
            <w:r w:rsidR="002A43FA">
              <w:rPr>
                <w:rFonts w:asciiTheme="minorHAnsi" w:hAnsiTheme="minorHAnsi" w:cstheme="minorHAnsi"/>
                <w:iCs/>
                <w:sz w:val="22"/>
                <w:szCs w:val="22"/>
              </w:rPr>
              <w:t>on land</w:t>
            </w:r>
            <w:r w:rsidR="005A0A2A">
              <w:rPr>
                <w:rFonts w:asciiTheme="minorHAnsi" w:hAnsiTheme="minorHAnsi" w:cstheme="minorHAnsi"/>
                <w:iCs/>
                <w:sz w:val="22"/>
                <w:szCs w:val="22"/>
              </w:rPr>
              <w:t xml:space="preserve"> </w:t>
            </w:r>
            <w:r w:rsidR="002A43FA">
              <w:rPr>
                <w:rFonts w:asciiTheme="minorHAnsi" w:hAnsiTheme="minorHAnsi" w:cstheme="minorHAnsi"/>
                <w:iCs/>
                <w:sz w:val="22"/>
                <w:szCs w:val="22"/>
              </w:rPr>
              <w:t>and oil development</w:t>
            </w:r>
            <w:r w:rsidRPr="00E21AC9">
              <w:rPr>
                <w:rFonts w:asciiTheme="minorHAnsi" w:hAnsiTheme="minorHAnsi" w:cstheme="minorHAnsi"/>
                <w:iCs/>
                <w:sz w:val="22"/>
                <w:szCs w:val="22"/>
              </w:rPr>
              <w:t xml:space="preserve"> have been made. Effective participation requires recognised local forums with </w:t>
            </w:r>
            <w:r w:rsidR="00942EE3">
              <w:rPr>
                <w:rFonts w:asciiTheme="minorHAnsi" w:hAnsiTheme="minorHAnsi" w:cstheme="minorHAnsi"/>
                <w:iCs/>
                <w:sz w:val="22"/>
                <w:szCs w:val="22"/>
              </w:rPr>
              <w:t>clear authority</w:t>
            </w:r>
            <w:r w:rsidR="00C869AA">
              <w:rPr>
                <w:rFonts w:asciiTheme="minorHAnsi" w:hAnsiTheme="minorHAnsi" w:cstheme="minorHAnsi"/>
                <w:iCs/>
                <w:sz w:val="22"/>
                <w:szCs w:val="22"/>
              </w:rPr>
              <w:t xml:space="preserve"> and</w:t>
            </w:r>
            <w:r w:rsidRPr="00E21AC9">
              <w:rPr>
                <w:rFonts w:asciiTheme="minorHAnsi" w:hAnsiTheme="minorHAnsi" w:cstheme="minorHAnsi"/>
                <w:iCs/>
                <w:sz w:val="22"/>
                <w:szCs w:val="22"/>
              </w:rPr>
              <w:t xml:space="preserve"> influence over land use, compensation arrangements, and development priorities.</w:t>
            </w:r>
          </w:p>
          <w:p w14:paraId="0889DA0F" w14:textId="5CBCDBAE" w:rsidR="001177BA" w:rsidRDefault="00E21AC9" w:rsidP="004C3EA1">
            <w:pPr>
              <w:pStyle w:val="BulletPoints"/>
              <w:numPr>
                <w:ilvl w:val="0"/>
                <w:numId w:val="0"/>
              </w:numPr>
              <w:spacing w:after="0"/>
              <w:ind w:firstLine="340"/>
              <w:rPr>
                <w:rFonts w:asciiTheme="minorHAnsi" w:hAnsiTheme="minorHAnsi" w:cstheme="minorHAnsi"/>
                <w:iCs/>
                <w:sz w:val="22"/>
                <w:szCs w:val="22"/>
              </w:rPr>
            </w:pPr>
            <w:r w:rsidRPr="00E21AC9">
              <w:rPr>
                <w:rFonts w:asciiTheme="minorHAnsi" w:hAnsiTheme="minorHAnsi" w:cstheme="minorHAnsi"/>
                <w:iCs/>
                <w:sz w:val="22"/>
                <w:szCs w:val="22"/>
              </w:rPr>
              <w:t xml:space="preserve">Government should </w:t>
            </w:r>
            <w:r w:rsidR="00D9093F">
              <w:rPr>
                <w:rFonts w:asciiTheme="minorHAnsi" w:hAnsiTheme="minorHAnsi" w:cstheme="minorHAnsi"/>
                <w:iCs/>
                <w:sz w:val="22"/>
                <w:szCs w:val="22"/>
              </w:rPr>
              <w:t>therefore work together with the</w:t>
            </w:r>
            <w:r w:rsidR="007E09DC">
              <w:rPr>
                <w:rFonts w:asciiTheme="minorHAnsi" w:hAnsiTheme="minorHAnsi" w:cstheme="minorHAnsi"/>
                <w:iCs/>
                <w:sz w:val="22"/>
                <w:szCs w:val="22"/>
              </w:rPr>
              <w:t xml:space="preserve"> already</w:t>
            </w:r>
            <w:r w:rsidR="00D9093F">
              <w:rPr>
                <w:rFonts w:asciiTheme="minorHAnsi" w:hAnsiTheme="minorHAnsi" w:cstheme="minorHAnsi"/>
                <w:iCs/>
                <w:sz w:val="22"/>
                <w:szCs w:val="22"/>
              </w:rPr>
              <w:t xml:space="preserve"> </w:t>
            </w:r>
            <w:r w:rsidR="008D7D17">
              <w:rPr>
                <w:rFonts w:asciiTheme="minorHAnsi" w:hAnsiTheme="minorHAnsi" w:cstheme="minorHAnsi"/>
                <w:iCs/>
                <w:sz w:val="22"/>
                <w:szCs w:val="22"/>
              </w:rPr>
              <w:t>established local community</w:t>
            </w:r>
            <w:r w:rsidR="00E173C1">
              <w:rPr>
                <w:rFonts w:asciiTheme="minorHAnsi" w:hAnsiTheme="minorHAnsi" w:cstheme="minorHAnsi"/>
                <w:iCs/>
                <w:sz w:val="22"/>
                <w:szCs w:val="22"/>
              </w:rPr>
              <w:t xml:space="preserve"> </w:t>
            </w:r>
            <w:r w:rsidR="00DC7959">
              <w:rPr>
                <w:rFonts w:asciiTheme="minorHAnsi" w:hAnsiTheme="minorHAnsi" w:cstheme="minorHAnsi"/>
                <w:iCs/>
                <w:sz w:val="22"/>
                <w:szCs w:val="22"/>
              </w:rPr>
              <w:t xml:space="preserve">governance platforms </w:t>
            </w:r>
            <w:r w:rsidR="00E20A41">
              <w:rPr>
                <w:rFonts w:asciiTheme="minorHAnsi" w:hAnsiTheme="minorHAnsi" w:cstheme="minorHAnsi"/>
                <w:iCs/>
                <w:sz w:val="22"/>
                <w:szCs w:val="22"/>
              </w:rPr>
              <w:t xml:space="preserve">to </w:t>
            </w:r>
            <w:r w:rsidRPr="00E21AC9">
              <w:rPr>
                <w:rFonts w:asciiTheme="minorHAnsi" w:hAnsiTheme="minorHAnsi" w:cstheme="minorHAnsi"/>
                <w:iCs/>
                <w:sz w:val="22"/>
                <w:szCs w:val="22"/>
              </w:rPr>
              <w:t xml:space="preserve">establish </w:t>
            </w:r>
            <w:r w:rsidR="00E20A41">
              <w:rPr>
                <w:rFonts w:asciiTheme="minorHAnsi" w:hAnsiTheme="minorHAnsi" w:cstheme="minorHAnsi"/>
                <w:iCs/>
                <w:sz w:val="22"/>
                <w:szCs w:val="22"/>
              </w:rPr>
              <w:t xml:space="preserve">a </w:t>
            </w:r>
            <w:r w:rsidRPr="00E21AC9">
              <w:rPr>
                <w:rFonts w:asciiTheme="minorHAnsi" w:hAnsiTheme="minorHAnsi" w:cstheme="minorHAnsi"/>
                <w:iCs/>
                <w:sz w:val="22"/>
                <w:szCs w:val="22"/>
              </w:rPr>
              <w:t xml:space="preserve">locally based decision platform with verified representation and accessible public </w:t>
            </w:r>
            <w:r w:rsidRPr="00E21AC9">
              <w:rPr>
                <w:rFonts w:asciiTheme="minorHAnsi" w:hAnsiTheme="minorHAnsi" w:cstheme="minorHAnsi"/>
                <w:iCs/>
                <w:sz w:val="22"/>
                <w:szCs w:val="22"/>
              </w:rPr>
              <w:lastRenderedPageBreak/>
              <w:t>records.</w:t>
            </w:r>
            <w:r w:rsidR="00385250">
              <w:rPr>
                <w:rFonts w:asciiTheme="minorHAnsi" w:hAnsiTheme="minorHAnsi" w:cstheme="minorHAnsi"/>
                <w:iCs/>
                <w:sz w:val="22"/>
                <w:szCs w:val="22"/>
              </w:rPr>
              <w:t xml:space="preserve"> </w:t>
            </w:r>
            <w:r w:rsidRPr="00E21AC9">
              <w:rPr>
                <w:rFonts w:asciiTheme="minorHAnsi" w:hAnsiTheme="minorHAnsi" w:cstheme="minorHAnsi"/>
                <w:iCs/>
                <w:sz w:val="22"/>
                <w:szCs w:val="22"/>
              </w:rPr>
              <w:t>Development partners</w:t>
            </w:r>
            <w:r w:rsidR="008D7D17">
              <w:rPr>
                <w:rFonts w:asciiTheme="minorHAnsi" w:hAnsiTheme="minorHAnsi" w:cstheme="minorHAnsi"/>
                <w:iCs/>
                <w:sz w:val="22"/>
                <w:szCs w:val="22"/>
              </w:rPr>
              <w:t>,</w:t>
            </w:r>
            <w:r w:rsidRPr="00E21AC9">
              <w:rPr>
                <w:rFonts w:asciiTheme="minorHAnsi" w:hAnsiTheme="minorHAnsi" w:cstheme="minorHAnsi"/>
                <w:iCs/>
                <w:sz w:val="22"/>
                <w:szCs w:val="22"/>
              </w:rPr>
              <w:t xml:space="preserve"> </w:t>
            </w:r>
            <w:r w:rsidR="00385250">
              <w:rPr>
                <w:rFonts w:asciiTheme="minorHAnsi" w:hAnsiTheme="minorHAnsi" w:cstheme="minorHAnsi"/>
                <w:iCs/>
                <w:sz w:val="22"/>
                <w:szCs w:val="22"/>
              </w:rPr>
              <w:t xml:space="preserve">on the other </w:t>
            </w:r>
            <w:r w:rsidR="00F65652">
              <w:rPr>
                <w:rFonts w:asciiTheme="minorHAnsi" w:hAnsiTheme="minorHAnsi" w:cstheme="minorHAnsi"/>
                <w:iCs/>
                <w:sz w:val="22"/>
                <w:szCs w:val="22"/>
              </w:rPr>
              <w:t>hand</w:t>
            </w:r>
            <w:r w:rsidR="008D7D17">
              <w:rPr>
                <w:rFonts w:asciiTheme="minorHAnsi" w:hAnsiTheme="minorHAnsi" w:cstheme="minorHAnsi"/>
                <w:iCs/>
                <w:sz w:val="22"/>
                <w:szCs w:val="22"/>
              </w:rPr>
              <w:t>,</w:t>
            </w:r>
            <w:r w:rsidR="00F65652">
              <w:rPr>
                <w:rFonts w:asciiTheme="minorHAnsi" w:hAnsiTheme="minorHAnsi" w:cstheme="minorHAnsi"/>
                <w:iCs/>
                <w:sz w:val="22"/>
                <w:szCs w:val="22"/>
              </w:rPr>
              <w:t xml:space="preserve"> </w:t>
            </w:r>
            <w:r w:rsidR="001027D0">
              <w:rPr>
                <w:rFonts w:asciiTheme="minorHAnsi" w:hAnsiTheme="minorHAnsi" w:cstheme="minorHAnsi"/>
                <w:iCs/>
                <w:sz w:val="22"/>
                <w:szCs w:val="22"/>
              </w:rPr>
              <w:t>ought</w:t>
            </w:r>
            <w:r w:rsidRPr="00E21AC9">
              <w:rPr>
                <w:rFonts w:asciiTheme="minorHAnsi" w:hAnsiTheme="minorHAnsi" w:cstheme="minorHAnsi"/>
                <w:iCs/>
                <w:sz w:val="22"/>
                <w:szCs w:val="22"/>
              </w:rPr>
              <w:t xml:space="preserve"> </w:t>
            </w:r>
            <w:r w:rsidR="00D85044">
              <w:rPr>
                <w:rFonts w:asciiTheme="minorHAnsi" w:hAnsiTheme="minorHAnsi" w:cstheme="minorHAnsi"/>
                <w:iCs/>
                <w:sz w:val="22"/>
                <w:szCs w:val="22"/>
              </w:rPr>
              <w:t xml:space="preserve">to </w:t>
            </w:r>
            <w:r w:rsidRPr="00E21AC9">
              <w:rPr>
                <w:rFonts w:asciiTheme="minorHAnsi" w:hAnsiTheme="minorHAnsi" w:cstheme="minorHAnsi"/>
                <w:iCs/>
                <w:sz w:val="22"/>
                <w:szCs w:val="22"/>
              </w:rPr>
              <w:t>move beyond short-term consultation projects and instead support long-term institutional strengthening that enables communities to participate in decisions, not just meetings.</w:t>
            </w:r>
            <w:r w:rsidR="001177BA">
              <w:rPr>
                <w:rFonts w:asciiTheme="minorHAnsi" w:hAnsiTheme="minorHAnsi" w:cstheme="minorHAnsi"/>
                <w:iCs/>
                <w:sz w:val="22"/>
                <w:szCs w:val="22"/>
              </w:rPr>
              <w:t xml:space="preserve"> </w:t>
            </w:r>
          </w:p>
          <w:p w14:paraId="6ACA0144" w14:textId="79B76B58" w:rsidR="00FB39CD" w:rsidRPr="00C765D0" w:rsidRDefault="00FB39CD" w:rsidP="00B07CE8">
            <w:pPr>
              <w:pStyle w:val="BulletPoints"/>
              <w:numPr>
                <w:ilvl w:val="0"/>
                <w:numId w:val="7"/>
              </w:numPr>
              <w:snapToGrid w:val="0"/>
              <w:spacing w:before="240"/>
              <w:ind w:left="619"/>
              <w:rPr>
                <w:rFonts w:asciiTheme="minorHAnsi" w:hAnsiTheme="minorHAnsi" w:cstheme="minorHAnsi"/>
                <w:b/>
                <w:bCs/>
                <w:iCs/>
                <w:sz w:val="22"/>
                <w:szCs w:val="22"/>
              </w:rPr>
            </w:pPr>
            <w:r w:rsidRPr="00C765D0">
              <w:rPr>
                <w:rFonts w:asciiTheme="minorHAnsi" w:hAnsiTheme="minorHAnsi" w:cstheme="minorHAnsi"/>
                <w:b/>
                <w:bCs/>
                <w:iCs/>
                <w:sz w:val="22"/>
                <w:szCs w:val="22"/>
              </w:rPr>
              <w:t>Restore Clear Public Accountability</w:t>
            </w:r>
          </w:p>
          <w:p w14:paraId="40954EC3" w14:textId="46316B6B" w:rsidR="00201EF4" w:rsidRDefault="0006360B" w:rsidP="003F5F1C">
            <w:pPr>
              <w:pStyle w:val="BulletPoints"/>
              <w:numPr>
                <w:ilvl w:val="0"/>
                <w:numId w:val="0"/>
              </w:numPr>
              <w:spacing w:after="0"/>
              <w:rPr>
                <w:rFonts w:asciiTheme="minorHAnsi" w:hAnsiTheme="minorHAnsi" w:cstheme="minorHAnsi"/>
                <w:iCs/>
                <w:sz w:val="22"/>
                <w:szCs w:val="22"/>
              </w:rPr>
            </w:pPr>
            <w:r w:rsidRPr="0006360B">
              <w:rPr>
                <w:rFonts w:asciiTheme="minorHAnsi" w:hAnsiTheme="minorHAnsi" w:cstheme="minorHAnsi"/>
                <w:iCs/>
                <w:sz w:val="22"/>
                <w:szCs w:val="22"/>
              </w:rPr>
              <w:t xml:space="preserve">Social and environmental </w:t>
            </w:r>
            <w:r w:rsidR="00452552">
              <w:rPr>
                <w:rFonts w:asciiTheme="minorHAnsi" w:hAnsiTheme="minorHAnsi" w:cstheme="minorHAnsi"/>
                <w:iCs/>
                <w:sz w:val="22"/>
                <w:szCs w:val="22"/>
              </w:rPr>
              <w:t xml:space="preserve">management currently relies heavily on </w:t>
            </w:r>
            <w:r w:rsidR="00CE5CC9">
              <w:rPr>
                <w:rFonts w:asciiTheme="minorHAnsi" w:hAnsiTheme="minorHAnsi" w:cstheme="minorHAnsi"/>
                <w:iCs/>
                <w:sz w:val="22"/>
                <w:szCs w:val="22"/>
              </w:rPr>
              <w:t xml:space="preserve">voluntary corporate </w:t>
            </w:r>
            <w:r w:rsidRPr="0006360B">
              <w:rPr>
                <w:rFonts w:asciiTheme="minorHAnsi" w:hAnsiTheme="minorHAnsi" w:cstheme="minorHAnsi"/>
                <w:iCs/>
                <w:sz w:val="22"/>
                <w:szCs w:val="22"/>
              </w:rPr>
              <w:t>commitments</w:t>
            </w:r>
            <w:r w:rsidR="008D7D17">
              <w:rPr>
                <w:rFonts w:asciiTheme="minorHAnsi" w:hAnsiTheme="minorHAnsi" w:cstheme="minorHAnsi"/>
                <w:iCs/>
                <w:sz w:val="22"/>
                <w:szCs w:val="22"/>
              </w:rPr>
              <w:t>,</w:t>
            </w:r>
            <w:r w:rsidR="00826F24">
              <w:rPr>
                <w:rFonts w:asciiTheme="minorHAnsi" w:hAnsiTheme="minorHAnsi" w:cstheme="minorHAnsi"/>
                <w:iCs/>
                <w:sz w:val="22"/>
                <w:szCs w:val="22"/>
              </w:rPr>
              <w:t xml:space="preserve"> which weakens state responsibility a</w:t>
            </w:r>
            <w:r w:rsidR="009E1EC2">
              <w:rPr>
                <w:rFonts w:asciiTheme="minorHAnsi" w:hAnsiTheme="minorHAnsi" w:cstheme="minorHAnsi"/>
                <w:iCs/>
                <w:sz w:val="22"/>
                <w:szCs w:val="22"/>
              </w:rPr>
              <w:t>nd</w:t>
            </w:r>
            <w:r w:rsidR="002F2A00">
              <w:rPr>
                <w:rFonts w:asciiTheme="minorHAnsi" w:hAnsiTheme="minorHAnsi" w:cstheme="minorHAnsi"/>
                <w:iCs/>
                <w:sz w:val="22"/>
                <w:szCs w:val="22"/>
              </w:rPr>
              <w:t xml:space="preserve"> limits avenues for redress</w:t>
            </w:r>
            <w:r w:rsidR="005D1F93">
              <w:rPr>
                <w:rFonts w:asciiTheme="minorHAnsi" w:hAnsiTheme="minorHAnsi" w:cstheme="minorHAnsi"/>
                <w:iCs/>
                <w:sz w:val="22"/>
                <w:szCs w:val="22"/>
              </w:rPr>
              <w:t>. E</w:t>
            </w:r>
            <w:r w:rsidR="00E73C7F">
              <w:rPr>
                <w:rFonts w:asciiTheme="minorHAnsi" w:hAnsiTheme="minorHAnsi" w:cstheme="minorHAnsi"/>
                <w:iCs/>
                <w:sz w:val="22"/>
                <w:szCs w:val="22"/>
              </w:rPr>
              <w:t>ffective governance requires clear public oversight, independent monitoring</w:t>
            </w:r>
            <w:r w:rsidR="00154228">
              <w:rPr>
                <w:rFonts w:asciiTheme="minorHAnsi" w:hAnsiTheme="minorHAnsi" w:cstheme="minorHAnsi"/>
                <w:iCs/>
                <w:sz w:val="22"/>
                <w:szCs w:val="22"/>
              </w:rPr>
              <w:t xml:space="preserve"> and access</w:t>
            </w:r>
            <w:r w:rsidR="007F7280">
              <w:rPr>
                <w:rFonts w:asciiTheme="minorHAnsi" w:hAnsiTheme="minorHAnsi" w:cstheme="minorHAnsi"/>
                <w:iCs/>
                <w:sz w:val="22"/>
                <w:szCs w:val="22"/>
              </w:rPr>
              <w:t>i</w:t>
            </w:r>
            <w:r w:rsidRPr="0006360B">
              <w:rPr>
                <w:rFonts w:asciiTheme="minorHAnsi" w:hAnsiTheme="minorHAnsi" w:cstheme="minorHAnsi"/>
                <w:iCs/>
                <w:sz w:val="22"/>
                <w:szCs w:val="22"/>
              </w:rPr>
              <w:t>ble grievance systems</w:t>
            </w:r>
            <w:r w:rsidR="007F7280">
              <w:rPr>
                <w:rFonts w:asciiTheme="minorHAnsi" w:hAnsiTheme="minorHAnsi" w:cstheme="minorHAnsi"/>
                <w:iCs/>
                <w:sz w:val="22"/>
                <w:szCs w:val="22"/>
              </w:rPr>
              <w:t>.</w:t>
            </w:r>
            <w:r w:rsidR="00DE3217">
              <w:rPr>
                <w:rFonts w:asciiTheme="minorHAnsi" w:hAnsiTheme="minorHAnsi" w:cstheme="minorHAnsi"/>
                <w:iCs/>
                <w:sz w:val="22"/>
                <w:szCs w:val="22"/>
              </w:rPr>
              <w:t xml:space="preserve"> </w:t>
            </w:r>
          </w:p>
          <w:p w14:paraId="2EBC508D" w14:textId="6B229D69" w:rsidR="004C3EA1" w:rsidRDefault="00AF5E05" w:rsidP="004C3EA1">
            <w:pPr>
              <w:pStyle w:val="BulletPoints"/>
              <w:numPr>
                <w:ilvl w:val="0"/>
                <w:numId w:val="0"/>
              </w:numPr>
              <w:spacing w:after="0"/>
              <w:ind w:firstLine="340"/>
              <w:rPr>
                <w:rFonts w:asciiTheme="minorHAnsi" w:hAnsiTheme="minorHAnsi" w:cstheme="minorHAnsi"/>
                <w:iCs/>
                <w:sz w:val="22"/>
                <w:szCs w:val="22"/>
              </w:rPr>
            </w:pPr>
            <w:r>
              <w:rPr>
                <w:rFonts w:asciiTheme="minorHAnsi" w:hAnsiTheme="minorHAnsi" w:cstheme="minorHAnsi"/>
                <w:iCs/>
                <w:sz w:val="22"/>
                <w:szCs w:val="22"/>
              </w:rPr>
              <w:t>Gover</w:t>
            </w:r>
            <w:r w:rsidR="00DE3217" w:rsidRPr="00DE3217">
              <w:rPr>
                <w:rFonts w:asciiTheme="minorHAnsi" w:hAnsiTheme="minorHAnsi" w:cstheme="minorHAnsi"/>
                <w:iCs/>
                <w:sz w:val="22"/>
                <w:szCs w:val="22"/>
              </w:rPr>
              <w:t>nment and regulators should strengthen on</w:t>
            </w:r>
            <w:r w:rsidR="00027AE6">
              <w:rPr>
                <w:rFonts w:asciiTheme="minorHAnsi" w:hAnsiTheme="minorHAnsi" w:cstheme="minorHAnsi"/>
                <w:iCs/>
                <w:sz w:val="22"/>
                <w:szCs w:val="22"/>
              </w:rPr>
              <w:t>-</w:t>
            </w:r>
            <w:r w:rsidR="00DE3217" w:rsidRPr="00DE3217">
              <w:rPr>
                <w:rFonts w:asciiTheme="minorHAnsi" w:hAnsiTheme="minorHAnsi" w:cstheme="minorHAnsi"/>
                <w:iCs/>
                <w:sz w:val="22"/>
                <w:szCs w:val="22"/>
              </w:rPr>
              <w:t>the</w:t>
            </w:r>
            <w:r w:rsidR="00027AE6">
              <w:rPr>
                <w:rFonts w:asciiTheme="minorHAnsi" w:hAnsiTheme="minorHAnsi" w:cstheme="minorHAnsi"/>
                <w:iCs/>
                <w:sz w:val="22"/>
                <w:szCs w:val="22"/>
              </w:rPr>
              <w:t>-</w:t>
            </w:r>
            <w:r w:rsidR="00DE3217" w:rsidRPr="00DE3217">
              <w:rPr>
                <w:rFonts w:asciiTheme="minorHAnsi" w:hAnsiTheme="minorHAnsi" w:cstheme="minorHAnsi"/>
                <w:iCs/>
                <w:sz w:val="22"/>
                <w:szCs w:val="22"/>
              </w:rPr>
              <w:t>ground inspection, clarify responsibility for monitoring and remediation and ensure publicly accessible environmental and social information.</w:t>
            </w:r>
            <w:r w:rsidR="00624802">
              <w:rPr>
                <w:rFonts w:asciiTheme="minorHAnsi" w:hAnsiTheme="minorHAnsi" w:cstheme="minorHAnsi"/>
                <w:iCs/>
                <w:sz w:val="22"/>
                <w:szCs w:val="22"/>
              </w:rPr>
              <w:t xml:space="preserve"> </w:t>
            </w:r>
            <w:r w:rsidR="00DE3217" w:rsidRPr="00DE3217">
              <w:rPr>
                <w:rFonts w:asciiTheme="minorHAnsi" w:hAnsiTheme="minorHAnsi" w:cstheme="minorHAnsi"/>
                <w:iCs/>
                <w:sz w:val="22"/>
                <w:szCs w:val="22"/>
              </w:rPr>
              <w:t xml:space="preserve">Development partners and financiers </w:t>
            </w:r>
            <w:r w:rsidR="00D9007C" w:rsidRPr="00DE3217">
              <w:rPr>
                <w:rFonts w:asciiTheme="minorHAnsi" w:hAnsiTheme="minorHAnsi" w:cstheme="minorHAnsi"/>
                <w:iCs/>
                <w:sz w:val="22"/>
                <w:szCs w:val="22"/>
              </w:rPr>
              <w:t>must</w:t>
            </w:r>
            <w:r w:rsidR="00DE3217" w:rsidRPr="00DE3217">
              <w:rPr>
                <w:rFonts w:asciiTheme="minorHAnsi" w:hAnsiTheme="minorHAnsi" w:cstheme="minorHAnsi"/>
                <w:iCs/>
                <w:sz w:val="22"/>
                <w:szCs w:val="22"/>
              </w:rPr>
              <w:t xml:space="preserve"> require transparent grievance mechanisms, independent monitoring, and evidence of meaningful local accountability as conditions for support.</w:t>
            </w:r>
          </w:p>
          <w:p w14:paraId="0E69CAB3" w14:textId="77777777" w:rsidR="004C3EA1" w:rsidRDefault="004C3EA1" w:rsidP="004C3EA1">
            <w:pPr>
              <w:pStyle w:val="BulletPoints"/>
              <w:numPr>
                <w:ilvl w:val="0"/>
                <w:numId w:val="0"/>
              </w:numPr>
              <w:spacing w:after="0"/>
              <w:ind w:firstLine="340"/>
              <w:rPr>
                <w:rFonts w:asciiTheme="minorHAnsi" w:hAnsiTheme="minorHAnsi" w:cstheme="minorHAnsi"/>
                <w:iCs/>
                <w:sz w:val="22"/>
                <w:szCs w:val="22"/>
              </w:rPr>
            </w:pPr>
          </w:p>
          <w:tbl>
            <w:tblPr>
              <w:tblStyle w:val="GridTable1Light-Accent1"/>
              <w:tblW w:w="0" w:type="auto"/>
              <w:tblLook w:val="04A0" w:firstRow="1" w:lastRow="0" w:firstColumn="1" w:lastColumn="0" w:noHBand="0" w:noVBand="1"/>
            </w:tblPr>
            <w:tblGrid>
              <w:gridCol w:w="4877"/>
            </w:tblGrid>
            <w:tr w:rsidR="00A637CC" w14:paraId="644E1200" w14:textId="77777777" w:rsidTr="00C76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7"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tcPr>
                <w:p w14:paraId="0729A93C" w14:textId="7577B42E" w:rsidR="00A637CC" w:rsidRDefault="00A637CC" w:rsidP="003F5F1C">
                  <w:pPr>
                    <w:pStyle w:val="BulletPoints"/>
                    <w:numPr>
                      <w:ilvl w:val="0"/>
                      <w:numId w:val="0"/>
                    </w:numPr>
                    <w:spacing w:before="120" w:after="120"/>
                    <w:jc w:val="left"/>
                    <w:rPr>
                      <w:rFonts w:asciiTheme="minorHAnsi" w:hAnsiTheme="minorHAnsi" w:cstheme="minorHAnsi"/>
                      <w:iCs/>
                      <w:sz w:val="22"/>
                      <w:szCs w:val="22"/>
                    </w:rPr>
                  </w:pPr>
                  <w:r>
                    <w:rPr>
                      <w:rFonts w:asciiTheme="minorHAnsi" w:hAnsiTheme="minorHAnsi" w:cstheme="minorHAnsi"/>
                      <w:iCs/>
                      <w:sz w:val="22"/>
                      <w:szCs w:val="22"/>
                    </w:rPr>
                    <w:t>Oil Development in Turkana</w:t>
                  </w:r>
                  <w:r w:rsidR="00241881">
                    <w:rPr>
                      <w:rFonts w:asciiTheme="minorHAnsi" w:hAnsiTheme="minorHAnsi" w:cstheme="minorHAnsi"/>
                      <w:iCs/>
                      <w:sz w:val="22"/>
                      <w:szCs w:val="22"/>
                    </w:rPr>
                    <w:t xml:space="preserve"> can contribute to development </w:t>
                  </w:r>
                  <w:r w:rsidR="0056051D">
                    <w:rPr>
                      <w:rFonts w:asciiTheme="minorHAnsi" w:hAnsiTheme="minorHAnsi" w:cstheme="minorHAnsi"/>
                      <w:iCs/>
                      <w:sz w:val="22"/>
                      <w:szCs w:val="22"/>
                    </w:rPr>
                    <w:t>if governance arrangements</w:t>
                  </w:r>
                  <w:r w:rsidR="005334CC">
                    <w:rPr>
                      <w:rFonts w:asciiTheme="minorHAnsi" w:hAnsiTheme="minorHAnsi" w:cstheme="minorHAnsi"/>
                      <w:iCs/>
                      <w:sz w:val="22"/>
                      <w:szCs w:val="22"/>
                    </w:rPr>
                    <w:t xml:space="preserve"> prioritise secure land rights, transparent benefit sharing</w:t>
                  </w:r>
                  <w:r w:rsidR="00F94482">
                    <w:rPr>
                      <w:rFonts w:asciiTheme="minorHAnsi" w:hAnsiTheme="minorHAnsi" w:cstheme="minorHAnsi"/>
                      <w:iCs/>
                      <w:sz w:val="22"/>
                      <w:szCs w:val="22"/>
                    </w:rPr>
                    <w:t xml:space="preserve"> and locally accountable decision making before projects expand</w:t>
                  </w:r>
                  <w:r w:rsidR="0019131D">
                    <w:rPr>
                      <w:rFonts w:asciiTheme="minorHAnsi" w:hAnsiTheme="minorHAnsi" w:cstheme="minorHAnsi"/>
                      <w:iCs/>
                      <w:sz w:val="22"/>
                      <w:szCs w:val="22"/>
                    </w:rPr>
                    <w:t>.</w:t>
                  </w:r>
                </w:p>
              </w:tc>
            </w:tr>
          </w:tbl>
          <w:p w14:paraId="180C1998" w14:textId="5C0EDAAA" w:rsidR="00BF5BF6" w:rsidRPr="00C9688A" w:rsidRDefault="00BF5BF6" w:rsidP="00B07CE8">
            <w:pPr>
              <w:pStyle w:val="Heading2"/>
              <w:numPr>
                <w:ilvl w:val="0"/>
                <w:numId w:val="9"/>
              </w:numPr>
              <w:spacing w:before="240" w:after="120"/>
              <w:ind w:left="346"/>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t xml:space="preserve">Outcomes </w:t>
            </w:r>
            <w:r w:rsidR="000240DB" w:rsidRPr="00C9688A">
              <w:rPr>
                <w:rFonts w:asciiTheme="minorHAnsi" w:hAnsiTheme="minorHAnsi" w:cstheme="minorHAnsi"/>
                <w:color w:val="864EA8" w:themeColor="accent1" w:themeShade="BF"/>
                <w:sz w:val="24"/>
                <w:szCs w:val="24"/>
              </w:rPr>
              <w:t>of Action and Inaction</w:t>
            </w:r>
          </w:p>
          <w:p w14:paraId="37F934C6" w14:textId="13328F12" w:rsidR="006E4AD1" w:rsidRPr="009A7BC6" w:rsidRDefault="00E25CF2" w:rsidP="00C765D0">
            <w:pPr>
              <w:pStyle w:val="BulletPoints"/>
              <w:numPr>
                <w:ilvl w:val="0"/>
                <w:numId w:val="0"/>
              </w:numPr>
              <w:rPr>
                <w:rFonts w:asciiTheme="minorHAnsi" w:hAnsiTheme="minorHAnsi" w:cstheme="minorHAnsi"/>
                <w:sz w:val="22"/>
                <w:szCs w:val="22"/>
              </w:rPr>
            </w:pPr>
            <w:r w:rsidRPr="00E25CF2">
              <w:rPr>
                <w:rFonts w:asciiTheme="minorHAnsi" w:hAnsiTheme="minorHAnsi" w:cstheme="minorHAnsi"/>
                <w:sz w:val="22"/>
                <w:szCs w:val="22"/>
              </w:rPr>
              <w:t xml:space="preserve">Implementing these </w:t>
            </w:r>
            <w:r w:rsidR="00621F90">
              <w:rPr>
                <w:rFonts w:asciiTheme="minorHAnsi" w:hAnsiTheme="minorHAnsi" w:cstheme="minorHAnsi"/>
                <w:sz w:val="22"/>
                <w:szCs w:val="22"/>
              </w:rPr>
              <w:t xml:space="preserve">governance </w:t>
            </w:r>
            <w:r w:rsidRPr="00E25CF2">
              <w:rPr>
                <w:rFonts w:asciiTheme="minorHAnsi" w:hAnsiTheme="minorHAnsi" w:cstheme="minorHAnsi"/>
                <w:sz w:val="22"/>
                <w:szCs w:val="22"/>
              </w:rPr>
              <w:t xml:space="preserve">changes can improve legitimacy, reduce conflict </w:t>
            </w:r>
            <w:r w:rsidR="00F857E5">
              <w:rPr>
                <w:rFonts w:asciiTheme="minorHAnsi" w:hAnsiTheme="minorHAnsi" w:cstheme="minorHAnsi"/>
                <w:sz w:val="22"/>
                <w:szCs w:val="22"/>
              </w:rPr>
              <w:t>over competition for resources</w:t>
            </w:r>
            <w:r w:rsidRPr="00E25CF2">
              <w:rPr>
                <w:rFonts w:asciiTheme="minorHAnsi" w:hAnsiTheme="minorHAnsi" w:cstheme="minorHAnsi"/>
                <w:sz w:val="22"/>
                <w:szCs w:val="22"/>
              </w:rPr>
              <w:t xml:space="preserve">, and strengthen alignment between oil development and inclusive, sustainable outcomes. </w:t>
            </w:r>
            <w:r w:rsidRPr="00E25CF2">
              <w:rPr>
                <w:rFonts w:asciiTheme="minorHAnsi" w:hAnsiTheme="minorHAnsi" w:cstheme="minorHAnsi"/>
                <w:sz w:val="22"/>
                <w:szCs w:val="22"/>
              </w:rPr>
              <w:t>Failure to address the structural governance weaknesses identified in Turkana is likely to deepen grievances, increase operational disruptions, exacerbate environmental harm and undermine the credibility of governments, companies and development partners.</w:t>
            </w:r>
          </w:p>
        </w:tc>
      </w:tr>
      <w:tr w:rsidR="003D7754" w14:paraId="2FFB2A72" w14:textId="77777777" w:rsidTr="00831C12">
        <w:tc>
          <w:tcPr>
            <w:tcW w:w="5103" w:type="dxa"/>
          </w:tcPr>
          <w:p w14:paraId="40086352" w14:textId="0E394208" w:rsidR="00E47DE5" w:rsidRPr="00C9688A" w:rsidRDefault="00E47DE5" w:rsidP="00B07CE8">
            <w:pPr>
              <w:pStyle w:val="Heading2"/>
              <w:numPr>
                <w:ilvl w:val="0"/>
                <w:numId w:val="9"/>
              </w:numPr>
              <w:spacing w:after="120"/>
              <w:ind w:left="340"/>
              <w:rPr>
                <w:rFonts w:asciiTheme="minorHAnsi" w:hAnsiTheme="minorHAnsi" w:cstheme="minorHAnsi"/>
                <w:color w:val="864EA8" w:themeColor="accent1" w:themeShade="BF"/>
                <w:sz w:val="24"/>
                <w:szCs w:val="24"/>
              </w:rPr>
            </w:pPr>
            <w:r w:rsidRPr="00F24FA8">
              <w:rPr>
                <w:rFonts w:asciiTheme="minorHAnsi" w:hAnsiTheme="minorHAnsi" w:cstheme="minorHAnsi"/>
                <w:color w:val="864EA8" w:themeColor="accent1" w:themeShade="BF"/>
                <w:sz w:val="24"/>
                <w:szCs w:val="24"/>
              </w:rPr>
              <w:lastRenderedPageBreak/>
              <w:t>Limitations</w:t>
            </w:r>
            <w:r w:rsidRPr="00C9688A">
              <w:rPr>
                <w:rFonts w:asciiTheme="minorHAnsi" w:hAnsiTheme="minorHAnsi" w:cstheme="minorHAnsi"/>
                <w:color w:val="864EA8" w:themeColor="accent1" w:themeShade="BF"/>
                <w:sz w:val="24"/>
                <w:szCs w:val="24"/>
              </w:rPr>
              <w:t xml:space="preserve"> and </w:t>
            </w:r>
            <w:r w:rsidR="000240DB" w:rsidRPr="00C9688A">
              <w:rPr>
                <w:rFonts w:asciiTheme="minorHAnsi" w:hAnsiTheme="minorHAnsi" w:cstheme="minorHAnsi"/>
                <w:color w:val="864EA8" w:themeColor="accent1" w:themeShade="BF"/>
                <w:sz w:val="24"/>
                <w:szCs w:val="24"/>
              </w:rPr>
              <w:t>Further Research</w:t>
            </w:r>
          </w:p>
          <w:p w14:paraId="1CD715E9" w14:textId="3EB9D18E" w:rsidR="00E47DE5" w:rsidRPr="00E47DE5" w:rsidRDefault="00E47DE5" w:rsidP="00C765D0">
            <w:pPr>
              <w:pStyle w:val="BulletPoints"/>
              <w:numPr>
                <w:ilvl w:val="0"/>
                <w:numId w:val="0"/>
              </w:numPr>
              <w:spacing w:after="0"/>
              <w:rPr>
                <w:rFonts w:asciiTheme="minorHAnsi" w:hAnsiTheme="minorHAnsi" w:cstheme="minorHAnsi"/>
                <w:bCs/>
                <w:iCs/>
                <w:sz w:val="22"/>
                <w:szCs w:val="22"/>
              </w:rPr>
            </w:pPr>
            <w:r w:rsidRPr="00E47DE5">
              <w:rPr>
                <w:rFonts w:asciiTheme="minorHAnsi" w:hAnsiTheme="minorHAnsi" w:cstheme="minorHAnsi"/>
                <w:bCs/>
                <w:iCs/>
                <w:sz w:val="22"/>
                <w:szCs w:val="22"/>
              </w:rPr>
              <w:t>This policy brief draws from doctoral field research conducted in 2024 and examines governance dynamics and development impacts from the discovery of oil in Turkana in 2012 through to the early pilot project phase (2018-2020</w:t>
            </w:r>
            <w:r w:rsidR="006F02CB">
              <w:rPr>
                <w:rFonts w:asciiTheme="minorHAnsi" w:hAnsiTheme="minorHAnsi" w:cstheme="minorHAnsi"/>
                <w:bCs/>
                <w:iCs/>
                <w:sz w:val="22"/>
                <w:szCs w:val="22"/>
              </w:rPr>
              <w:t>).</w:t>
            </w:r>
          </w:p>
          <w:p w14:paraId="02704C50" w14:textId="750AAA0D" w:rsidR="00E47DE5" w:rsidRPr="00E47DE5" w:rsidRDefault="00E47DE5" w:rsidP="006E3C9F">
            <w:pPr>
              <w:pStyle w:val="BulletPoints"/>
              <w:numPr>
                <w:ilvl w:val="0"/>
                <w:numId w:val="0"/>
              </w:numPr>
              <w:rPr>
                <w:rFonts w:asciiTheme="minorHAnsi" w:hAnsiTheme="minorHAnsi" w:cstheme="minorHAnsi"/>
                <w:bCs/>
                <w:iCs/>
                <w:sz w:val="22"/>
                <w:szCs w:val="22"/>
              </w:rPr>
            </w:pPr>
            <w:r w:rsidRPr="00E47DE5">
              <w:rPr>
                <w:rFonts w:asciiTheme="minorHAnsi" w:hAnsiTheme="minorHAnsi" w:cstheme="minorHAnsi"/>
                <w:bCs/>
                <w:iCs/>
                <w:sz w:val="22"/>
                <w:szCs w:val="22"/>
              </w:rPr>
              <w:t xml:space="preserve">Further research </w:t>
            </w:r>
            <w:r w:rsidR="00DF7667">
              <w:rPr>
                <w:rFonts w:asciiTheme="minorHAnsi" w:hAnsiTheme="minorHAnsi" w:cstheme="minorHAnsi"/>
                <w:bCs/>
                <w:iCs/>
                <w:sz w:val="22"/>
                <w:szCs w:val="22"/>
              </w:rPr>
              <w:t>is needed to:</w:t>
            </w:r>
          </w:p>
          <w:p w14:paraId="292C432D" w14:textId="6B838B35" w:rsidR="00E47DE5" w:rsidRPr="00E47DE5" w:rsidRDefault="00C14073" w:rsidP="00B07CE8">
            <w:pPr>
              <w:pStyle w:val="BulletPoints"/>
              <w:numPr>
                <w:ilvl w:val="0"/>
                <w:numId w:val="6"/>
              </w:numPr>
              <w:ind w:left="526" w:hanging="450"/>
              <w:rPr>
                <w:rFonts w:asciiTheme="minorHAnsi" w:hAnsiTheme="minorHAnsi" w:cstheme="minorHAnsi"/>
                <w:bCs/>
                <w:iCs/>
                <w:sz w:val="22"/>
                <w:szCs w:val="22"/>
              </w:rPr>
            </w:pPr>
            <w:r>
              <w:rPr>
                <w:rFonts w:asciiTheme="minorHAnsi" w:hAnsiTheme="minorHAnsi" w:cstheme="minorHAnsi"/>
                <w:bCs/>
                <w:iCs/>
                <w:sz w:val="22"/>
                <w:szCs w:val="22"/>
              </w:rPr>
              <w:t xml:space="preserve">Assess the </w:t>
            </w:r>
            <w:r w:rsidR="00C84D81">
              <w:rPr>
                <w:rFonts w:asciiTheme="minorHAnsi" w:hAnsiTheme="minorHAnsi" w:cstheme="minorHAnsi"/>
                <w:bCs/>
                <w:iCs/>
                <w:sz w:val="22"/>
                <w:szCs w:val="22"/>
              </w:rPr>
              <w:t>long-term</w:t>
            </w:r>
            <w:r w:rsidR="00771F10">
              <w:rPr>
                <w:rFonts w:asciiTheme="minorHAnsi" w:hAnsiTheme="minorHAnsi" w:cstheme="minorHAnsi"/>
                <w:bCs/>
                <w:iCs/>
                <w:sz w:val="22"/>
                <w:szCs w:val="22"/>
              </w:rPr>
              <w:t xml:space="preserve"> effectiveness of community-led</w:t>
            </w:r>
            <w:r w:rsidR="00874A4F">
              <w:rPr>
                <w:rFonts w:asciiTheme="minorHAnsi" w:hAnsiTheme="minorHAnsi" w:cstheme="minorHAnsi"/>
                <w:bCs/>
                <w:iCs/>
                <w:sz w:val="22"/>
                <w:szCs w:val="22"/>
              </w:rPr>
              <w:t xml:space="preserve"> governance in sustaining accountability and reducing conflict</w:t>
            </w:r>
          </w:p>
          <w:p w14:paraId="2219CBFA" w14:textId="2DF99429" w:rsidR="00E47DE5" w:rsidRPr="00E47DE5" w:rsidRDefault="00C84D81" w:rsidP="00B07CE8">
            <w:pPr>
              <w:pStyle w:val="BulletPoints"/>
              <w:numPr>
                <w:ilvl w:val="0"/>
                <w:numId w:val="6"/>
              </w:numPr>
              <w:ind w:left="526" w:hanging="450"/>
              <w:rPr>
                <w:rFonts w:asciiTheme="minorHAnsi" w:hAnsiTheme="minorHAnsi" w:cstheme="minorHAnsi"/>
                <w:bCs/>
                <w:iCs/>
                <w:sz w:val="22"/>
                <w:szCs w:val="22"/>
              </w:rPr>
            </w:pPr>
            <w:r>
              <w:rPr>
                <w:rFonts w:asciiTheme="minorHAnsi" w:hAnsiTheme="minorHAnsi" w:cstheme="minorHAnsi"/>
                <w:bCs/>
                <w:iCs/>
                <w:sz w:val="22"/>
                <w:szCs w:val="22"/>
              </w:rPr>
              <w:t>Examine h</w:t>
            </w:r>
            <w:r w:rsidR="00E47DE5" w:rsidRPr="00E47DE5">
              <w:rPr>
                <w:rFonts w:asciiTheme="minorHAnsi" w:hAnsiTheme="minorHAnsi" w:cstheme="minorHAnsi"/>
                <w:bCs/>
                <w:iCs/>
                <w:sz w:val="22"/>
                <w:szCs w:val="22"/>
              </w:rPr>
              <w:t>ow extractive governance choices interact with climate adaptation and just transition strategies in pastoral regions; and</w:t>
            </w:r>
          </w:p>
          <w:p w14:paraId="52B2E9E5" w14:textId="63788272" w:rsidR="00E47DE5" w:rsidRPr="00E47DE5" w:rsidRDefault="00725A39" w:rsidP="00B07CE8">
            <w:pPr>
              <w:pStyle w:val="BulletPoints"/>
              <w:numPr>
                <w:ilvl w:val="0"/>
                <w:numId w:val="6"/>
              </w:numPr>
              <w:ind w:left="526" w:hanging="450"/>
              <w:rPr>
                <w:rFonts w:asciiTheme="minorHAnsi" w:hAnsiTheme="minorHAnsi" w:cstheme="minorHAnsi"/>
                <w:bCs/>
                <w:iCs/>
                <w:sz w:val="22"/>
                <w:szCs w:val="22"/>
              </w:rPr>
            </w:pPr>
            <w:r>
              <w:rPr>
                <w:rFonts w:asciiTheme="minorHAnsi" w:hAnsiTheme="minorHAnsi" w:cstheme="minorHAnsi"/>
                <w:bCs/>
                <w:iCs/>
                <w:sz w:val="22"/>
                <w:szCs w:val="22"/>
              </w:rPr>
              <w:t>Analyse</w:t>
            </w:r>
            <w:r w:rsidR="00305432">
              <w:rPr>
                <w:rFonts w:asciiTheme="minorHAnsi" w:hAnsiTheme="minorHAnsi" w:cstheme="minorHAnsi"/>
                <w:bCs/>
                <w:iCs/>
                <w:sz w:val="22"/>
                <w:szCs w:val="22"/>
              </w:rPr>
              <w:t xml:space="preserve"> how</w:t>
            </w:r>
            <w:r w:rsidR="00E47DE5" w:rsidRPr="00E47DE5">
              <w:rPr>
                <w:rFonts w:asciiTheme="minorHAnsi" w:hAnsiTheme="minorHAnsi" w:cstheme="minorHAnsi"/>
                <w:bCs/>
                <w:iCs/>
                <w:sz w:val="22"/>
                <w:szCs w:val="22"/>
              </w:rPr>
              <w:t xml:space="preserve"> contracting and revenue flows across the oil value chain shape accountability and perceptions of benefit-sharing. </w:t>
            </w:r>
          </w:p>
          <w:p w14:paraId="34C3D93F" w14:textId="77777777" w:rsidR="00E47DE5" w:rsidRPr="00E47DE5" w:rsidRDefault="00E47DE5" w:rsidP="00356817">
            <w:pPr>
              <w:pStyle w:val="BulletPoints"/>
              <w:ind w:left="0"/>
              <w:rPr>
                <w:rFonts w:asciiTheme="minorHAnsi" w:hAnsiTheme="minorHAnsi" w:cstheme="minorHAnsi"/>
                <w:bCs/>
                <w:iCs/>
                <w:sz w:val="22"/>
                <w:szCs w:val="22"/>
              </w:rPr>
            </w:pPr>
            <w:r w:rsidRPr="00E47DE5">
              <w:rPr>
                <w:rFonts w:asciiTheme="minorHAnsi" w:hAnsiTheme="minorHAnsi" w:cstheme="minorHAnsi"/>
                <w:bCs/>
                <w:iCs/>
                <w:sz w:val="22"/>
                <w:szCs w:val="22"/>
              </w:rPr>
              <w:t>Addressing these gaps is important to ensure that future extractive decisions support inclusive development instead of reproducing patterns of marginalisation.</w:t>
            </w:r>
          </w:p>
          <w:p w14:paraId="778E7A6A" w14:textId="77777777" w:rsidR="001B6B25" w:rsidRPr="00A62056" w:rsidRDefault="001B6B25" w:rsidP="00CF05B4">
            <w:pPr>
              <w:pStyle w:val="BulletPoints"/>
              <w:numPr>
                <w:ilvl w:val="0"/>
                <w:numId w:val="0"/>
              </w:numPr>
              <w:rPr>
                <w:rFonts w:asciiTheme="minorHAnsi" w:hAnsiTheme="minorHAnsi" w:cstheme="minorHAnsi"/>
                <w:b/>
                <w:color w:val="864EA8" w:themeColor="accent1" w:themeShade="BF"/>
              </w:rPr>
            </w:pPr>
          </w:p>
        </w:tc>
      </w:tr>
    </w:tbl>
    <w:p w14:paraId="1A4622B7" w14:textId="77777777" w:rsidR="00831C12" w:rsidRPr="002D3DFD" w:rsidRDefault="00831C12" w:rsidP="00831C12">
      <w:pPr>
        <w:pStyle w:val="BulletPoints"/>
        <w:numPr>
          <w:ilvl w:val="0"/>
          <w:numId w:val="0"/>
        </w:numPr>
        <w:ind w:right="1134"/>
        <w:jc w:val="left"/>
        <w:rPr>
          <w:b/>
          <w:sz w:val="22"/>
          <w:szCs w:val="22"/>
        </w:rPr>
        <w:sectPr w:rsidR="00831C12" w:rsidRPr="002D3DFD" w:rsidSect="003F5F1C">
          <w:type w:val="continuous"/>
          <w:pgSz w:w="11907" w:h="16840" w:code="9"/>
          <w:pgMar w:top="1260" w:right="851" w:bottom="775" w:left="851" w:header="135" w:footer="0" w:gutter="0"/>
          <w:pgNumType w:start="1"/>
          <w:cols w:num="2" w:space="720"/>
          <w:formProt w:val="0"/>
          <w:titlePg/>
          <w:docGrid w:linePitch="299"/>
        </w:sectPr>
      </w:pPr>
    </w:p>
    <w:p w14:paraId="05F5F5F1" w14:textId="77777777" w:rsidR="00B90C33" w:rsidRPr="002D3DFD" w:rsidRDefault="00B90C33" w:rsidP="00831C12">
      <w:pPr>
        <w:pStyle w:val="BulletPoints"/>
        <w:numPr>
          <w:ilvl w:val="0"/>
          <w:numId w:val="0"/>
        </w:numPr>
        <w:ind w:right="1134"/>
        <w:jc w:val="left"/>
        <w:rPr>
          <w:rFonts w:asciiTheme="minorHAnsi" w:hAnsiTheme="minorHAnsi" w:cstheme="minorHAnsi"/>
          <w:b/>
          <w:color w:val="864EA8" w:themeColor="accent1" w:themeShade="BF"/>
          <w:sz w:val="22"/>
          <w:szCs w:val="22"/>
        </w:rPr>
        <w:sectPr w:rsidR="00B90C33" w:rsidRPr="002D3DFD" w:rsidSect="00AA704D">
          <w:headerReference w:type="default" r:id="rId19"/>
          <w:type w:val="continuous"/>
          <w:pgSz w:w="11907" w:h="16840" w:code="9"/>
          <w:pgMar w:top="1440" w:right="851" w:bottom="1440" w:left="851" w:header="0" w:footer="0" w:gutter="0"/>
          <w:pgNumType w:start="1"/>
          <w:cols w:space="720"/>
          <w:formProt w:val="0"/>
          <w:docGrid w:linePitch="299"/>
        </w:sectPr>
      </w:pPr>
    </w:p>
    <w:tbl>
      <w:tblPr>
        <w:tblW w:w="9184" w:type="dxa"/>
        <w:tblInd w:w="284" w:type="dxa"/>
        <w:tblLayout w:type="fixed"/>
        <w:tblLook w:val="0000" w:firstRow="0" w:lastRow="0" w:firstColumn="0" w:lastColumn="0" w:noHBand="0" w:noVBand="0"/>
      </w:tblPr>
      <w:tblGrid>
        <w:gridCol w:w="9184"/>
      </w:tblGrid>
      <w:tr w:rsidR="00E14D46" w14:paraId="215C8F5C" w14:textId="77777777" w:rsidTr="0051069D">
        <w:trPr>
          <w:trHeight w:val="1137"/>
        </w:trPr>
        <w:tc>
          <w:tcPr>
            <w:tcW w:w="9184" w:type="dxa"/>
          </w:tcPr>
          <w:p w14:paraId="629B9396" w14:textId="77777777" w:rsidR="00695E42" w:rsidRPr="00C9688A" w:rsidRDefault="00E14D46" w:rsidP="00C9688A">
            <w:pPr>
              <w:pStyle w:val="Heading2"/>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lastRenderedPageBreak/>
              <w:t>References</w:t>
            </w:r>
          </w:p>
          <w:p w14:paraId="43A9369B" w14:textId="77777777" w:rsidR="00E35181" w:rsidRPr="00D5083A" w:rsidRDefault="00E14D46" w:rsidP="00D5083A">
            <w:pPr>
              <w:pStyle w:val="Bibliography"/>
              <w:spacing w:line="360" w:lineRule="auto"/>
              <w:rPr>
                <w:rFonts w:asciiTheme="minorHAnsi" w:hAnsiTheme="minorHAnsi" w:cstheme="minorHAnsi"/>
              </w:rPr>
            </w:pPr>
            <w:r w:rsidRPr="009A6CC4">
              <w:rPr>
                <w:rFonts w:asciiTheme="minorHAnsi" w:hAnsiTheme="minorHAnsi" w:cstheme="minorHAnsi"/>
                <w:iCs/>
                <w:szCs w:val="22"/>
              </w:rPr>
              <w:fldChar w:fldCharType="begin"/>
            </w:r>
            <w:r w:rsidR="006C208C" w:rsidRPr="009A6CC4">
              <w:rPr>
                <w:rFonts w:asciiTheme="minorHAnsi" w:hAnsiTheme="minorHAnsi" w:cstheme="minorHAnsi"/>
                <w:iCs/>
                <w:szCs w:val="22"/>
              </w:rPr>
              <w:instrText xml:space="preserve"> ADDIN ZOTERO_BIBL {"uncited":[],"omitted":[],"custom":[]} CSL_BIBLIOGRAPHY </w:instrText>
            </w:r>
            <w:r w:rsidRPr="009A6CC4">
              <w:rPr>
                <w:rFonts w:asciiTheme="minorHAnsi" w:hAnsiTheme="minorHAnsi" w:cstheme="minorHAnsi"/>
                <w:iCs/>
                <w:szCs w:val="22"/>
              </w:rPr>
              <w:fldChar w:fldCharType="separate"/>
            </w:r>
            <w:r w:rsidR="00E35181" w:rsidRPr="00E35181">
              <w:t>C</w:t>
            </w:r>
            <w:r w:rsidR="00E35181" w:rsidRPr="00D5083A">
              <w:rPr>
                <w:rFonts w:asciiTheme="minorHAnsi" w:hAnsiTheme="minorHAnsi" w:cstheme="minorHAnsi"/>
              </w:rPr>
              <w:t xml:space="preserve">ampbell, B., &amp; Hatcher, P. (2019). Neoliberal reform, contestation and relations of power in mining: Observations from Guinea and Mongolia. </w:t>
            </w:r>
            <w:r w:rsidR="00E35181" w:rsidRPr="00D5083A">
              <w:rPr>
                <w:rFonts w:asciiTheme="minorHAnsi" w:hAnsiTheme="minorHAnsi" w:cstheme="minorHAnsi"/>
                <w:i/>
                <w:iCs/>
              </w:rPr>
              <w:t>The Extractive Industries and Society</w:t>
            </w:r>
            <w:r w:rsidR="00E35181" w:rsidRPr="00D5083A">
              <w:rPr>
                <w:rFonts w:asciiTheme="minorHAnsi" w:hAnsiTheme="minorHAnsi" w:cstheme="minorHAnsi"/>
              </w:rPr>
              <w:t xml:space="preserve">, </w:t>
            </w:r>
            <w:r w:rsidR="00E35181" w:rsidRPr="00D5083A">
              <w:rPr>
                <w:rFonts w:asciiTheme="minorHAnsi" w:hAnsiTheme="minorHAnsi" w:cstheme="minorHAnsi"/>
                <w:i/>
                <w:iCs/>
              </w:rPr>
              <w:t>6</w:t>
            </w:r>
            <w:r w:rsidR="00E35181" w:rsidRPr="00D5083A">
              <w:rPr>
                <w:rFonts w:asciiTheme="minorHAnsi" w:hAnsiTheme="minorHAnsi" w:cstheme="minorHAnsi"/>
              </w:rPr>
              <w:t>(3), 642–653. https://doi.org/10.1016/j.exis.2019.06.010</w:t>
            </w:r>
          </w:p>
          <w:p w14:paraId="4DA0BFC9"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 xml:space="preserve">Campbell, B. K. (Ed.). (2013). </w:t>
            </w:r>
            <w:r w:rsidRPr="00D5083A">
              <w:rPr>
                <w:rFonts w:asciiTheme="minorHAnsi" w:hAnsiTheme="minorHAnsi" w:cstheme="minorHAnsi"/>
                <w:i/>
                <w:iCs/>
              </w:rPr>
              <w:t>Modes of Governance and Revenue Flows in African Mining</w:t>
            </w:r>
            <w:r w:rsidRPr="00D5083A">
              <w:rPr>
                <w:rFonts w:asciiTheme="minorHAnsi" w:hAnsiTheme="minorHAnsi" w:cstheme="minorHAnsi"/>
              </w:rPr>
              <w:t>. Palgrave Macmillan UK. https://doi.org/10.1057/9781137332318</w:t>
            </w:r>
          </w:p>
          <w:p w14:paraId="2AEA55F1"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 xml:space="preserve">Hatcher, P., &amp; Lander, J. (2023). Searching for New Political Spaces: Negotiating Citizenship and Transnational Identities on Mongolia’s Mining Frontier. </w:t>
            </w:r>
            <w:r w:rsidRPr="00D5083A">
              <w:rPr>
                <w:rFonts w:asciiTheme="minorHAnsi" w:hAnsiTheme="minorHAnsi" w:cstheme="minorHAnsi"/>
                <w:i/>
                <w:iCs/>
              </w:rPr>
              <w:t>Journal of Contemporary Asia</w:t>
            </w:r>
            <w:r w:rsidRPr="00D5083A">
              <w:rPr>
                <w:rFonts w:asciiTheme="minorHAnsi" w:hAnsiTheme="minorHAnsi" w:cstheme="minorHAnsi"/>
              </w:rPr>
              <w:t xml:space="preserve">, </w:t>
            </w:r>
            <w:r w:rsidRPr="00D5083A">
              <w:rPr>
                <w:rFonts w:asciiTheme="minorHAnsi" w:hAnsiTheme="minorHAnsi" w:cstheme="minorHAnsi"/>
                <w:i/>
                <w:iCs/>
              </w:rPr>
              <w:t>53</w:t>
            </w:r>
            <w:r w:rsidRPr="00D5083A">
              <w:rPr>
                <w:rFonts w:asciiTheme="minorHAnsi" w:hAnsiTheme="minorHAnsi" w:cstheme="minorHAnsi"/>
              </w:rPr>
              <w:t>(2), 311–334. https://doi.org/10.1080/00472336.2022.2032278</w:t>
            </w:r>
          </w:p>
          <w:p w14:paraId="7AEFC2CF"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 xml:space="preserve">IWGIA. (2017). </w:t>
            </w:r>
            <w:r w:rsidRPr="00D5083A">
              <w:rPr>
                <w:rFonts w:asciiTheme="minorHAnsi" w:hAnsiTheme="minorHAnsi" w:cstheme="minorHAnsi"/>
                <w:i/>
                <w:iCs/>
              </w:rPr>
              <w:t xml:space="preserve">Extractive industries, land rights and indigenous populations’, communities’ rights: East, Central and Southern Africa = Industries extractives, droits </w:t>
            </w:r>
            <w:proofErr w:type="spellStart"/>
            <w:r w:rsidRPr="00D5083A">
              <w:rPr>
                <w:rFonts w:asciiTheme="minorHAnsi" w:hAnsiTheme="minorHAnsi" w:cstheme="minorHAnsi"/>
                <w:i/>
                <w:iCs/>
              </w:rPr>
              <w:t>fonciers</w:t>
            </w:r>
            <w:proofErr w:type="spellEnd"/>
            <w:r w:rsidRPr="00D5083A">
              <w:rPr>
                <w:rFonts w:asciiTheme="minorHAnsi" w:hAnsiTheme="minorHAnsi" w:cstheme="minorHAnsi"/>
                <w:i/>
                <w:iCs/>
              </w:rPr>
              <w:t xml:space="preserve"> et droits des populations, </w:t>
            </w:r>
            <w:proofErr w:type="spellStart"/>
            <w:r w:rsidRPr="00D5083A">
              <w:rPr>
                <w:rFonts w:asciiTheme="minorHAnsi" w:hAnsiTheme="minorHAnsi" w:cstheme="minorHAnsi"/>
                <w:i/>
                <w:iCs/>
              </w:rPr>
              <w:t>communautés</w:t>
            </w:r>
            <w:proofErr w:type="spellEnd"/>
            <w:r w:rsidRPr="00D5083A">
              <w:rPr>
                <w:rFonts w:asciiTheme="minorHAnsi" w:hAnsiTheme="minorHAnsi" w:cstheme="minorHAnsi"/>
                <w:i/>
                <w:iCs/>
              </w:rPr>
              <w:t xml:space="preserve"> </w:t>
            </w:r>
            <w:proofErr w:type="spellStart"/>
            <w:r w:rsidRPr="00D5083A">
              <w:rPr>
                <w:rFonts w:asciiTheme="minorHAnsi" w:hAnsiTheme="minorHAnsi" w:cstheme="minorHAnsi"/>
                <w:i/>
                <w:iCs/>
              </w:rPr>
              <w:t>autochtones</w:t>
            </w:r>
            <w:proofErr w:type="spellEnd"/>
            <w:r w:rsidRPr="00D5083A">
              <w:rPr>
                <w:rFonts w:asciiTheme="minorHAnsi" w:hAnsiTheme="minorHAnsi" w:cstheme="minorHAnsi"/>
              </w:rPr>
              <w:t>. IWGIA ; African Commission on Human and Peoples’ Rights.</w:t>
            </w:r>
          </w:p>
          <w:p w14:paraId="464C2707" w14:textId="77777777" w:rsidR="00E35181" w:rsidRPr="00D5083A" w:rsidRDefault="00E35181" w:rsidP="00D5083A">
            <w:pPr>
              <w:pStyle w:val="Bibliography"/>
              <w:spacing w:line="360" w:lineRule="auto"/>
              <w:rPr>
                <w:rFonts w:asciiTheme="minorHAnsi" w:hAnsiTheme="minorHAnsi" w:cstheme="minorHAnsi"/>
              </w:rPr>
            </w:pPr>
            <w:proofErr w:type="spellStart"/>
            <w:r w:rsidRPr="00D5083A">
              <w:rPr>
                <w:rFonts w:asciiTheme="minorHAnsi" w:hAnsiTheme="minorHAnsi" w:cstheme="minorHAnsi"/>
              </w:rPr>
              <w:t>Mkutu</w:t>
            </w:r>
            <w:proofErr w:type="spellEnd"/>
            <w:r w:rsidRPr="00D5083A">
              <w:rPr>
                <w:rFonts w:asciiTheme="minorHAnsi" w:hAnsiTheme="minorHAnsi" w:cstheme="minorHAnsi"/>
              </w:rPr>
              <w:t xml:space="preserve">, K., </w:t>
            </w:r>
            <w:proofErr w:type="spellStart"/>
            <w:r w:rsidRPr="00D5083A">
              <w:rPr>
                <w:rFonts w:asciiTheme="minorHAnsi" w:hAnsiTheme="minorHAnsi" w:cstheme="minorHAnsi"/>
              </w:rPr>
              <w:t>Mkutu</w:t>
            </w:r>
            <w:proofErr w:type="spellEnd"/>
            <w:r w:rsidRPr="00D5083A">
              <w:rPr>
                <w:rFonts w:asciiTheme="minorHAnsi" w:hAnsiTheme="minorHAnsi" w:cstheme="minorHAnsi"/>
              </w:rPr>
              <w:t xml:space="preserve">, T., Marani, M., &amp; Ekitela, A. L. (2019). New Oil Developments in a Remote Area: Environmental Justice and Participation in Turkana, Kenya. </w:t>
            </w:r>
            <w:r w:rsidRPr="00D5083A">
              <w:rPr>
                <w:rFonts w:asciiTheme="minorHAnsi" w:hAnsiTheme="minorHAnsi" w:cstheme="minorHAnsi"/>
                <w:i/>
                <w:iCs/>
              </w:rPr>
              <w:t>The Journal of Environment &amp; Development</w:t>
            </w:r>
            <w:r w:rsidRPr="00D5083A">
              <w:rPr>
                <w:rFonts w:asciiTheme="minorHAnsi" w:hAnsiTheme="minorHAnsi" w:cstheme="minorHAnsi"/>
              </w:rPr>
              <w:t xml:space="preserve">, </w:t>
            </w:r>
            <w:r w:rsidRPr="00D5083A">
              <w:rPr>
                <w:rFonts w:asciiTheme="minorHAnsi" w:hAnsiTheme="minorHAnsi" w:cstheme="minorHAnsi"/>
                <w:i/>
                <w:iCs/>
              </w:rPr>
              <w:t>28</w:t>
            </w:r>
            <w:r w:rsidRPr="00D5083A">
              <w:rPr>
                <w:rFonts w:asciiTheme="minorHAnsi" w:hAnsiTheme="minorHAnsi" w:cstheme="minorHAnsi"/>
              </w:rPr>
              <w:t>(3), 223–252. https://doi.org/10.1177/1070496519857776</w:t>
            </w:r>
          </w:p>
          <w:p w14:paraId="044EBDDA"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Scheidel, A., Fernández-</w:t>
            </w:r>
            <w:proofErr w:type="spellStart"/>
            <w:r w:rsidRPr="00D5083A">
              <w:rPr>
                <w:rFonts w:asciiTheme="minorHAnsi" w:hAnsiTheme="minorHAnsi" w:cstheme="minorHAnsi"/>
              </w:rPr>
              <w:t>Llamazares</w:t>
            </w:r>
            <w:proofErr w:type="spellEnd"/>
            <w:r w:rsidRPr="00D5083A">
              <w:rPr>
                <w:rFonts w:asciiTheme="minorHAnsi" w:hAnsiTheme="minorHAnsi" w:cstheme="minorHAnsi"/>
              </w:rPr>
              <w:t xml:space="preserve">, Á., Bara, A. H., Del Bene, D., David-Chavez, D. M., Fanari, E., Garba, I., </w:t>
            </w:r>
            <w:proofErr w:type="spellStart"/>
            <w:r w:rsidRPr="00D5083A">
              <w:rPr>
                <w:rFonts w:asciiTheme="minorHAnsi" w:hAnsiTheme="minorHAnsi" w:cstheme="minorHAnsi"/>
              </w:rPr>
              <w:t>Hanaček</w:t>
            </w:r>
            <w:proofErr w:type="spellEnd"/>
            <w:r w:rsidRPr="00D5083A">
              <w:rPr>
                <w:rFonts w:asciiTheme="minorHAnsi" w:hAnsiTheme="minorHAnsi" w:cstheme="minorHAnsi"/>
              </w:rPr>
              <w:t xml:space="preserve">, K., Liu, J., Martínez-Alier, J., Navas, G., Reyes-García, V., Roy, B., Temper, L., Thiri, M. A., Tran, D., Walter, M., &amp; Whyte, K. P. (2023). Global impacts of extractive and industrial development projects on Indigenous Peoples’ lifeways, lands, and rights. </w:t>
            </w:r>
            <w:r w:rsidRPr="00D5083A">
              <w:rPr>
                <w:rFonts w:asciiTheme="minorHAnsi" w:hAnsiTheme="minorHAnsi" w:cstheme="minorHAnsi"/>
                <w:i/>
                <w:iCs/>
              </w:rPr>
              <w:t>Science Advances</w:t>
            </w:r>
            <w:r w:rsidRPr="00D5083A">
              <w:rPr>
                <w:rFonts w:asciiTheme="minorHAnsi" w:hAnsiTheme="minorHAnsi" w:cstheme="minorHAnsi"/>
              </w:rPr>
              <w:t xml:space="preserve">, </w:t>
            </w:r>
            <w:r w:rsidRPr="00D5083A">
              <w:rPr>
                <w:rFonts w:asciiTheme="minorHAnsi" w:hAnsiTheme="minorHAnsi" w:cstheme="minorHAnsi"/>
                <w:i/>
                <w:iCs/>
              </w:rPr>
              <w:t>9</w:t>
            </w:r>
            <w:r w:rsidRPr="00D5083A">
              <w:rPr>
                <w:rFonts w:asciiTheme="minorHAnsi" w:hAnsiTheme="minorHAnsi" w:cstheme="minorHAnsi"/>
              </w:rPr>
              <w:t>(23). https://doi.org/10.1126/sciadv.ade9557</w:t>
            </w:r>
          </w:p>
          <w:p w14:paraId="5BD61502"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 xml:space="preserve">Schubiger, E. (2025). Turkana’s extractive promises in limbo. </w:t>
            </w:r>
            <w:r w:rsidRPr="00D5083A">
              <w:rPr>
                <w:rFonts w:asciiTheme="minorHAnsi" w:hAnsiTheme="minorHAnsi" w:cstheme="minorHAnsi"/>
                <w:i/>
                <w:iCs/>
              </w:rPr>
              <w:t>Third World Quarterly</w:t>
            </w:r>
            <w:r w:rsidRPr="00D5083A">
              <w:rPr>
                <w:rFonts w:asciiTheme="minorHAnsi" w:hAnsiTheme="minorHAnsi" w:cstheme="minorHAnsi"/>
              </w:rPr>
              <w:t>, 1–18. https://doi.org/10.1080/01436597.2024.2444324</w:t>
            </w:r>
          </w:p>
          <w:p w14:paraId="3EF0CC23" w14:textId="77777777" w:rsidR="00E35181" w:rsidRPr="00D5083A" w:rsidRDefault="00E35181" w:rsidP="00D5083A">
            <w:pPr>
              <w:pStyle w:val="Bibliography"/>
              <w:spacing w:line="360" w:lineRule="auto"/>
              <w:rPr>
                <w:rFonts w:asciiTheme="minorHAnsi" w:hAnsiTheme="minorHAnsi" w:cstheme="minorHAnsi"/>
              </w:rPr>
            </w:pPr>
            <w:r w:rsidRPr="00D5083A">
              <w:rPr>
                <w:rFonts w:asciiTheme="minorHAnsi" w:hAnsiTheme="minorHAnsi" w:cstheme="minorHAnsi"/>
              </w:rPr>
              <w:t xml:space="preserve">Szablowski, D. (2007). </w:t>
            </w:r>
            <w:r w:rsidRPr="00D5083A">
              <w:rPr>
                <w:rFonts w:asciiTheme="minorHAnsi" w:hAnsiTheme="minorHAnsi" w:cstheme="minorHAnsi"/>
                <w:i/>
                <w:iCs/>
              </w:rPr>
              <w:t>Transnational Law and Local Struggles: Mining, Communities and the World Bank</w:t>
            </w:r>
            <w:r w:rsidRPr="00D5083A">
              <w:rPr>
                <w:rFonts w:asciiTheme="minorHAnsi" w:hAnsiTheme="minorHAnsi" w:cstheme="minorHAnsi"/>
              </w:rPr>
              <w:t xml:space="preserve"> (1st ed., Vol. 2, p. 304p). Hart Publishing Ltd. https://doi.org/10.5040/9781474202213</w:t>
            </w:r>
          </w:p>
          <w:p w14:paraId="26B5B41C" w14:textId="052D860E" w:rsidR="00E14D46" w:rsidRDefault="00E14D46" w:rsidP="00D5083A">
            <w:pPr>
              <w:pStyle w:val="BulletPoints"/>
              <w:numPr>
                <w:ilvl w:val="0"/>
                <w:numId w:val="0"/>
              </w:numPr>
              <w:spacing w:after="0" w:line="360" w:lineRule="auto"/>
              <w:ind w:left="706" w:hanging="706"/>
              <w:jc w:val="left"/>
              <w:rPr>
                <w:rFonts w:asciiTheme="minorHAnsi" w:hAnsiTheme="minorHAnsi" w:cstheme="minorHAnsi"/>
                <w:iCs/>
                <w:sz w:val="22"/>
                <w:szCs w:val="22"/>
              </w:rPr>
            </w:pPr>
            <w:r w:rsidRPr="009A6CC4">
              <w:rPr>
                <w:rFonts w:asciiTheme="minorHAnsi" w:hAnsiTheme="minorHAnsi" w:cstheme="minorHAnsi"/>
                <w:iCs/>
                <w:sz w:val="22"/>
                <w:szCs w:val="22"/>
              </w:rPr>
              <w:fldChar w:fldCharType="end"/>
            </w:r>
          </w:p>
          <w:p w14:paraId="72692C95" w14:textId="77777777" w:rsidR="00E14D46" w:rsidRDefault="00E14D46" w:rsidP="00D5083A">
            <w:pPr>
              <w:pStyle w:val="BulletPoints"/>
              <w:numPr>
                <w:ilvl w:val="0"/>
                <w:numId w:val="0"/>
              </w:numPr>
              <w:spacing w:after="0" w:line="360" w:lineRule="auto"/>
              <w:jc w:val="left"/>
              <w:rPr>
                <w:b/>
              </w:rPr>
            </w:pPr>
          </w:p>
          <w:p w14:paraId="017CB564" w14:textId="77777777" w:rsidR="00A637CC" w:rsidRDefault="00A637CC" w:rsidP="00D5083A">
            <w:pPr>
              <w:pStyle w:val="BulletPoints"/>
              <w:numPr>
                <w:ilvl w:val="0"/>
                <w:numId w:val="0"/>
              </w:numPr>
              <w:spacing w:after="0" w:line="360" w:lineRule="auto"/>
              <w:jc w:val="left"/>
              <w:rPr>
                <w:b/>
              </w:rPr>
            </w:pPr>
          </w:p>
          <w:p w14:paraId="582F7B77" w14:textId="77777777" w:rsidR="00A637CC" w:rsidRDefault="00A637CC" w:rsidP="00D5083A">
            <w:pPr>
              <w:pStyle w:val="BulletPoints"/>
              <w:numPr>
                <w:ilvl w:val="0"/>
                <w:numId w:val="0"/>
              </w:numPr>
              <w:spacing w:after="0" w:line="360" w:lineRule="auto"/>
              <w:jc w:val="left"/>
              <w:rPr>
                <w:b/>
              </w:rPr>
            </w:pPr>
          </w:p>
          <w:p w14:paraId="13D6D3A5" w14:textId="77777777" w:rsidR="00A637CC" w:rsidRDefault="00A637CC" w:rsidP="00D5083A">
            <w:pPr>
              <w:pStyle w:val="BulletPoints"/>
              <w:numPr>
                <w:ilvl w:val="0"/>
                <w:numId w:val="0"/>
              </w:numPr>
              <w:spacing w:after="0" w:line="360" w:lineRule="auto"/>
              <w:jc w:val="left"/>
              <w:rPr>
                <w:b/>
              </w:rPr>
            </w:pPr>
          </w:p>
          <w:p w14:paraId="230DBF40" w14:textId="77777777" w:rsidR="00A637CC" w:rsidRDefault="00A637CC" w:rsidP="00D5083A">
            <w:pPr>
              <w:pStyle w:val="BulletPoints"/>
              <w:numPr>
                <w:ilvl w:val="0"/>
                <w:numId w:val="0"/>
              </w:numPr>
              <w:spacing w:after="0" w:line="360" w:lineRule="auto"/>
              <w:jc w:val="left"/>
              <w:rPr>
                <w:b/>
              </w:rPr>
            </w:pPr>
          </w:p>
          <w:p w14:paraId="6E000AC2" w14:textId="77777777" w:rsidR="00A637CC" w:rsidRDefault="00A637CC" w:rsidP="00D5083A">
            <w:pPr>
              <w:pStyle w:val="BulletPoints"/>
              <w:numPr>
                <w:ilvl w:val="0"/>
                <w:numId w:val="0"/>
              </w:numPr>
              <w:spacing w:after="0" w:line="360" w:lineRule="auto"/>
              <w:jc w:val="left"/>
              <w:rPr>
                <w:b/>
              </w:rPr>
            </w:pPr>
          </w:p>
          <w:p w14:paraId="102CAF80" w14:textId="77777777" w:rsidR="00A637CC" w:rsidRDefault="00A637CC" w:rsidP="00D5083A">
            <w:pPr>
              <w:pStyle w:val="BulletPoints"/>
              <w:numPr>
                <w:ilvl w:val="0"/>
                <w:numId w:val="0"/>
              </w:numPr>
              <w:spacing w:after="0" w:line="360" w:lineRule="auto"/>
              <w:jc w:val="left"/>
              <w:rPr>
                <w:b/>
              </w:rPr>
            </w:pPr>
          </w:p>
          <w:p w14:paraId="7380C076" w14:textId="77777777" w:rsidR="00A637CC" w:rsidRDefault="00A637CC" w:rsidP="00D5083A">
            <w:pPr>
              <w:pStyle w:val="BulletPoints"/>
              <w:numPr>
                <w:ilvl w:val="0"/>
                <w:numId w:val="0"/>
              </w:numPr>
              <w:spacing w:after="0" w:line="360" w:lineRule="auto"/>
              <w:jc w:val="left"/>
              <w:rPr>
                <w:b/>
              </w:rPr>
            </w:pPr>
          </w:p>
          <w:p w14:paraId="0102F77F" w14:textId="77777777" w:rsidR="00A637CC" w:rsidRDefault="00A637CC" w:rsidP="00D5083A">
            <w:pPr>
              <w:pStyle w:val="BulletPoints"/>
              <w:numPr>
                <w:ilvl w:val="0"/>
                <w:numId w:val="0"/>
              </w:numPr>
              <w:spacing w:after="0" w:line="360" w:lineRule="auto"/>
              <w:jc w:val="left"/>
              <w:rPr>
                <w:b/>
              </w:rPr>
            </w:pPr>
          </w:p>
          <w:p w14:paraId="1DE97C91" w14:textId="2B5BB0BD" w:rsidR="00A637CC" w:rsidRPr="00165486" w:rsidRDefault="00A637CC" w:rsidP="00D5083A">
            <w:pPr>
              <w:pStyle w:val="BulletPoints"/>
              <w:numPr>
                <w:ilvl w:val="0"/>
                <w:numId w:val="0"/>
              </w:numPr>
              <w:spacing w:after="0" w:line="360" w:lineRule="auto"/>
              <w:jc w:val="left"/>
              <w:rPr>
                <w:b/>
              </w:rPr>
            </w:pPr>
          </w:p>
        </w:tc>
      </w:tr>
      <w:tr w:rsidR="00E14D46" w14:paraId="3E63A6F5" w14:textId="77777777" w:rsidTr="0051069D">
        <w:tc>
          <w:tcPr>
            <w:tcW w:w="9184" w:type="dxa"/>
          </w:tcPr>
          <w:p w14:paraId="484D8A63" w14:textId="6F4C27AB" w:rsidR="00E14D46" w:rsidRPr="00C9688A" w:rsidRDefault="00E14D46" w:rsidP="00C9688A">
            <w:pPr>
              <w:pStyle w:val="Heading2"/>
              <w:rPr>
                <w:rFonts w:asciiTheme="minorHAnsi" w:hAnsiTheme="minorHAnsi" w:cstheme="minorHAnsi"/>
                <w:color w:val="864EA8" w:themeColor="accent1" w:themeShade="BF"/>
                <w:sz w:val="24"/>
                <w:szCs w:val="24"/>
              </w:rPr>
            </w:pPr>
            <w:r w:rsidRPr="00C9688A">
              <w:rPr>
                <w:rFonts w:asciiTheme="minorHAnsi" w:hAnsiTheme="minorHAnsi" w:cstheme="minorHAnsi"/>
                <w:color w:val="864EA8" w:themeColor="accent1" w:themeShade="BF"/>
                <w:sz w:val="24"/>
                <w:szCs w:val="24"/>
              </w:rPr>
              <w:lastRenderedPageBreak/>
              <w:t>Appendi</w:t>
            </w:r>
            <w:r w:rsidR="00846A5A">
              <w:rPr>
                <w:rFonts w:asciiTheme="minorHAnsi" w:hAnsiTheme="minorHAnsi" w:cstheme="minorHAnsi"/>
                <w:color w:val="864EA8" w:themeColor="accent1" w:themeShade="BF"/>
                <w:sz w:val="24"/>
                <w:szCs w:val="24"/>
              </w:rPr>
              <w:t>x A</w:t>
            </w:r>
          </w:p>
          <w:p w14:paraId="2522AD6B" w14:textId="2727CFFB" w:rsidR="00E14D46" w:rsidRPr="00511A84" w:rsidRDefault="00E14D46" w:rsidP="00AC55C6">
            <w:pPr>
              <w:jc w:val="both"/>
              <w:rPr>
                <w:i/>
                <w:color w:val="800080"/>
                <w:szCs w:val="22"/>
              </w:rPr>
            </w:pPr>
          </w:p>
        </w:tc>
      </w:tr>
      <w:tr w:rsidR="00E14D46" w14:paraId="2534EACF" w14:textId="77777777" w:rsidTr="0051069D">
        <w:tc>
          <w:tcPr>
            <w:tcW w:w="9184" w:type="dxa"/>
          </w:tcPr>
          <w:p w14:paraId="3BFE48A0" w14:textId="1B8F4F8E" w:rsidR="00E14D46" w:rsidRPr="00165486" w:rsidRDefault="00E14D46" w:rsidP="004C3EA1">
            <w:pPr>
              <w:pStyle w:val="BulletPoints"/>
              <w:numPr>
                <w:ilvl w:val="0"/>
                <w:numId w:val="0"/>
              </w:numPr>
              <w:spacing w:after="0"/>
              <w:jc w:val="left"/>
              <w:rPr>
                <w:rFonts w:ascii="Tahoma" w:hAnsi="Tahoma"/>
                <w:i/>
                <w:color w:val="800080"/>
                <w:sz w:val="22"/>
                <w:szCs w:val="22"/>
              </w:rPr>
            </w:pPr>
          </w:p>
        </w:tc>
      </w:tr>
    </w:tbl>
    <w:p w14:paraId="3FACBF8A" w14:textId="77777777" w:rsidR="00DF6712" w:rsidRPr="00D90EA2" w:rsidRDefault="00DF6712" w:rsidP="00AC55C6">
      <w:pPr>
        <w:rPr>
          <w:rStyle w:val="Emphasis"/>
          <w:color w:val="864EA8" w:themeColor="accent1" w:themeShade="BF"/>
        </w:rPr>
      </w:pPr>
    </w:p>
    <w:tbl>
      <w:tblPr>
        <w:tblStyle w:val="GridTable1Light-Accent2"/>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0"/>
        <w:gridCol w:w="2460"/>
        <w:gridCol w:w="2460"/>
        <w:gridCol w:w="2460"/>
      </w:tblGrid>
      <w:tr w:rsidR="00AC3A8F" w:rsidRPr="003F5F1C" w14:paraId="5854E589" w14:textId="77777777" w:rsidTr="003F5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0" w:type="dxa"/>
            <w:tcBorders>
              <w:bottom w:val="none" w:sz="0" w:space="0" w:color="auto"/>
            </w:tcBorders>
            <w:shd w:val="clear" w:color="auto" w:fill="EEE6F3" w:themeFill="accent1" w:themeFillTint="33"/>
          </w:tcPr>
          <w:p w14:paraId="532B46ED" w14:textId="7074A3F5" w:rsidR="00AC3A8F" w:rsidRPr="003F5F1C" w:rsidRDefault="00B079B1" w:rsidP="003F5F1C">
            <w:pPr>
              <w:spacing w:before="80" w:after="80"/>
              <w:jc w:val="center"/>
              <w:rPr>
                <w:rFonts w:ascii="Calibri" w:hAnsi="Calibri" w:cs="Calibri"/>
                <w:sz w:val="20"/>
              </w:rPr>
            </w:pPr>
            <w:r w:rsidRPr="003F5F1C">
              <w:rPr>
                <w:rFonts w:ascii="Calibri" w:hAnsi="Calibri" w:cs="Calibri"/>
                <w:sz w:val="20"/>
              </w:rPr>
              <w:t>Governance conditions</w:t>
            </w:r>
          </w:p>
        </w:tc>
        <w:tc>
          <w:tcPr>
            <w:tcW w:w="2460" w:type="dxa"/>
            <w:tcBorders>
              <w:bottom w:val="none" w:sz="0" w:space="0" w:color="auto"/>
            </w:tcBorders>
            <w:shd w:val="clear" w:color="auto" w:fill="EEE6F3" w:themeFill="accent1" w:themeFillTint="33"/>
          </w:tcPr>
          <w:p w14:paraId="3E4CE2F1" w14:textId="18075263" w:rsidR="00AC3A8F" w:rsidRPr="003F5F1C" w:rsidRDefault="00B131D0" w:rsidP="003F5F1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Effects o</w:t>
            </w:r>
            <w:r w:rsidR="00847DDE">
              <w:rPr>
                <w:rFonts w:ascii="Calibri" w:hAnsi="Calibri" w:cs="Calibri"/>
                <w:sz w:val="20"/>
              </w:rPr>
              <w:t xml:space="preserve">n </w:t>
            </w:r>
            <w:r w:rsidRPr="003F5F1C">
              <w:rPr>
                <w:rFonts w:ascii="Calibri" w:hAnsi="Calibri" w:cs="Calibri"/>
                <w:sz w:val="20"/>
              </w:rPr>
              <w:t>local development</w:t>
            </w:r>
          </w:p>
        </w:tc>
        <w:tc>
          <w:tcPr>
            <w:tcW w:w="2460" w:type="dxa"/>
            <w:tcBorders>
              <w:bottom w:val="none" w:sz="0" w:space="0" w:color="auto"/>
            </w:tcBorders>
            <w:shd w:val="clear" w:color="auto" w:fill="EEE6F3" w:themeFill="accent1" w:themeFillTint="33"/>
          </w:tcPr>
          <w:p w14:paraId="26AB0028" w14:textId="46C3E8D6" w:rsidR="00AC3A8F" w:rsidRPr="003F5F1C" w:rsidRDefault="00B131D0" w:rsidP="003F5F1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 xml:space="preserve">Community </w:t>
            </w:r>
            <w:r w:rsidR="00333B75" w:rsidRPr="003F5F1C">
              <w:rPr>
                <w:rFonts w:ascii="Calibri" w:hAnsi="Calibri" w:cs="Calibri"/>
                <w:sz w:val="20"/>
              </w:rPr>
              <w:t>accountability responses</w:t>
            </w:r>
          </w:p>
        </w:tc>
        <w:tc>
          <w:tcPr>
            <w:tcW w:w="2460" w:type="dxa"/>
            <w:tcBorders>
              <w:bottom w:val="none" w:sz="0" w:space="0" w:color="auto"/>
            </w:tcBorders>
            <w:shd w:val="clear" w:color="auto" w:fill="EEE6F3" w:themeFill="accent1" w:themeFillTint="33"/>
          </w:tcPr>
          <w:p w14:paraId="0931D8C0" w14:textId="76D89741" w:rsidR="00AC3A8F" w:rsidRPr="003F5F1C" w:rsidRDefault="00333B75" w:rsidP="003F5F1C">
            <w:pPr>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Development opportunity</w:t>
            </w:r>
          </w:p>
        </w:tc>
      </w:tr>
      <w:tr w:rsidR="00AC3A8F" w:rsidRPr="003F5F1C" w14:paraId="16411A5F"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4BF6A3EB" w14:textId="041CD884" w:rsidR="00AC3A8F" w:rsidRPr="003F5F1C" w:rsidRDefault="00D02F24" w:rsidP="00327305">
            <w:pPr>
              <w:rPr>
                <w:rFonts w:ascii="Calibri" w:hAnsi="Calibri" w:cs="Calibri"/>
                <w:sz w:val="20"/>
              </w:rPr>
            </w:pPr>
            <w:r w:rsidRPr="003F5F1C">
              <w:rPr>
                <w:rFonts w:ascii="Calibri" w:hAnsi="Calibri" w:cs="Calibri"/>
                <w:sz w:val="20"/>
              </w:rPr>
              <w:t>C</w:t>
            </w:r>
            <w:r w:rsidR="00333B75" w:rsidRPr="003F5F1C">
              <w:rPr>
                <w:rFonts w:ascii="Calibri" w:hAnsi="Calibri" w:cs="Calibri"/>
                <w:sz w:val="20"/>
              </w:rPr>
              <w:t>entr</w:t>
            </w:r>
            <w:r w:rsidRPr="003F5F1C">
              <w:rPr>
                <w:rFonts w:ascii="Calibri" w:hAnsi="Calibri" w:cs="Calibri"/>
                <w:sz w:val="20"/>
              </w:rPr>
              <w:t>alised decision making on licensing</w:t>
            </w:r>
            <w:r w:rsidR="00BB4FE7" w:rsidRPr="003F5F1C">
              <w:rPr>
                <w:rFonts w:ascii="Calibri" w:hAnsi="Calibri" w:cs="Calibri"/>
                <w:sz w:val="20"/>
              </w:rPr>
              <w:t>,</w:t>
            </w:r>
            <w:r w:rsidR="00251CBD" w:rsidRPr="003F5F1C">
              <w:rPr>
                <w:rFonts w:ascii="Calibri" w:hAnsi="Calibri" w:cs="Calibri"/>
                <w:sz w:val="20"/>
              </w:rPr>
              <w:t xml:space="preserve"> land access and revenues</w:t>
            </w:r>
          </w:p>
        </w:tc>
        <w:tc>
          <w:tcPr>
            <w:tcW w:w="2460" w:type="dxa"/>
          </w:tcPr>
          <w:p w14:paraId="4FFB3E78" w14:textId="53D8A737" w:rsidR="00AC3A8F" w:rsidRPr="003F5F1C" w:rsidRDefault="00611CB7"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C</w:t>
            </w:r>
            <w:r w:rsidR="00251CBD" w:rsidRPr="003F5F1C">
              <w:rPr>
                <w:rFonts w:ascii="Calibri" w:hAnsi="Calibri" w:cs="Calibri"/>
                <w:sz w:val="20"/>
              </w:rPr>
              <w:t>ommunit</w:t>
            </w:r>
            <w:r w:rsidRPr="003F5F1C">
              <w:rPr>
                <w:rFonts w:ascii="Calibri" w:hAnsi="Calibri" w:cs="Calibri"/>
                <w:sz w:val="20"/>
              </w:rPr>
              <w:t>ies</w:t>
            </w:r>
            <w:r w:rsidR="007864F2" w:rsidRPr="003F5F1C">
              <w:rPr>
                <w:rFonts w:ascii="Calibri" w:hAnsi="Calibri" w:cs="Calibri"/>
                <w:sz w:val="20"/>
              </w:rPr>
              <w:t xml:space="preserve"> h</w:t>
            </w:r>
            <w:r w:rsidR="0016401A" w:rsidRPr="003F5F1C">
              <w:rPr>
                <w:rFonts w:ascii="Calibri" w:hAnsi="Calibri" w:cs="Calibri"/>
                <w:sz w:val="20"/>
              </w:rPr>
              <w:t>ave</w:t>
            </w:r>
            <w:r w:rsidRPr="003F5F1C">
              <w:rPr>
                <w:rFonts w:ascii="Calibri" w:hAnsi="Calibri" w:cs="Calibri"/>
                <w:sz w:val="20"/>
              </w:rPr>
              <w:t xml:space="preserve"> limited influence </w:t>
            </w:r>
            <w:r w:rsidR="009653C4" w:rsidRPr="003F5F1C">
              <w:rPr>
                <w:rFonts w:ascii="Calibri" w:hAnsi="Calibri" w:cs="Calibri"/>
                <w:sz w:val="20"/>
              </w:rPr>
              <w:t>over</w:t>
            </w:r>
            <w:r w:rsidR="00D90EA2" w:rsidRPr="003F5F1C">
              <w:rPr>
                <w:rFonts w:ascii="Calibri" w:hAnsi="Calibri" w:cs="Calibri"/>
                <w:sz w:val="20"/>
              </w:rPr>
              <w:t xml:space="preserve"> </w:t>
            </w:r>
            <w:r w:rsidRPr="003F5F1C">
              <w:rPr>
                <w:rFonts w:ascii="Calibri" w:hAnsi="Calibri" w:cs="Calibri"/>
                <w:sz w:val="20"/>
              </w:rPr>
              <w:t xml:space="preserve">decisions </w:t>
            </w:r>
            <w:r w:rsidR="00A61ADF">
              <w:rPr>
                <w:rFonts w:ascii="Calibri" w:hAnsi="Calibri" w:cs="Calibri"/>
                <w:sz w:val="20"/>
              </w:rPr>
              <w:t xml:space="preserve">affecting </w:t>
            </w:r>
            <w:r w:rsidRPr="003F5F1C">
              <w:rPr>
                <w:rFonts w:ascii="Calibri" w:hAnsi="Calibri" w:cs="Calibri"/>
                <w:sz w:val="20"/>
              </w:rPr>
              <w:t xml:space="preserve">their land </w:t>
            </w:r>
            <w:r w:rsidR="00A84FC1" w:rsidRPr="003F5F1C">
              <w:rPr>
                <w:rFonts w:ascii="Calibri" w:hAnsi="Calibri" w:cs="Calibri"/>
                <w:sz w:val="20"/>
              </w:rPr>
              <w:t>and livelihoods</w:t>
            </w:r>
          </w:p>
        </w:tc>
        <w:tc>
          <w:tcPr>
            <w:tcW w:w="2460" w:type="dxa"/>
          </w:tcPr>
          <w:p w14:paraId="74986219" w14:textId="364098D5" w:rsidR="00AC3A8F" w:rsidRPr="003F5F1C" w:rsidRDefault="00A84FC1"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Formation of community assemblies</w:t>
            </w:r>
            <w:r w:rsidR="00C76933" w:rsidRPr="003F5F1C">
              <w:rPr>
                <w:rFonts w:ascii="Calibri" w:hAnsi="Calibri" w:cs="Calibri"/>
                <w:sz w:val="20"/>
              </w:rPr>
              <w:t xml:space="preserve"> (</w:t>
            </w:r>
            <w:proofErr w:type="spellStart"/>
            <w:r w:rsidR="00C76933" w:rsidRPr="003F5F1C">
              <w:rPr>
                <w:rFonts w:ascii="Calibri" w:hAnsi="Calibri" w:cs="Calibri"/>
                <w:sz w:val="20"/>
              </w:rPr>
              <w:t>Esanyanait</w:t>
            </w:r>
            <w:proofErr w:type="spellEnd"/>
            <w:r w:rsidR="00C76933" w:rsidRPr="003F5F1C">
              <w:rPr>
                <w:rFonts w:ascii="Calibri" w:hAnsi="Calibri" w:cs="Calibri"/>
                <w:sz w:val="20"/>
              </w:rPr>
              <w:t xml:space="preserve">, </w:t>
            </w:r>
            <w:proofErr w:type="spellStart"/>
            <w:r w:rsidR="00C76933" w:rsidRPr="003F5F1C">
              <w:rPr>
                <w:rFonts w:ascii="Calibri" w:hAnsi="Calibri" w:cs="Calibri"/>
                <w:sz w:val="20"/>
              </w:rPr>
              <w:t>Ekalale</w:t>
            </w:r>
            <w:proofErr w:type="spellEnd"/>
            <w:r w:rsidR="00C76933" w:rsidRPr="003F5F1C">
              <w:rPr>
                <w:rFonts w:ascii="Calibri" w:hAnsi="Calibri" w:cs="Calibri"/>
                <w:sz w:val="20"/>
              </w:rPr>
              <w:t xml:space="preserve">, </w:t>
            </w:r>
            <w:proofErr w:type="spellStart"/>
            <w:r w:rsidR="00FF7063" w:rsidRPr="003F5F1C">
              <w:rPr>
                <w:rFonts w:ascii="Calibri" w:hAnsi="Calibri" w:cs="Calibri"/>
                <w:sz w:val="20"/>
              </w:rPr>
              <w:t>Nawiyokori</w:t>
            </w:r>
            <w:proofErr w:type="spellEnd"/>
            <w:r w:rsidR="00FF7063" w:rsidRPr="003F5F1C">
              <w:rPr>
                <w:rFonts w:ascii="Calibri" w:hAnsi="Calibri" w:cs="Calibri"/>
                <w:sz w:val="20"/>
              </w:rPr>
              <w:t>) and collective negotiation platforms</w:t>
            </w:r>
          </w:p>
        </w:tc>
        <w:tc>
          <w:tcPr>
            <w:tcW w:w="2460" w:type="dxa"/>
          </w:tcPr>
          <w:p w14:paraId="14F8577D" w14:textId="38898A74" w:rsidR="00AC3A8F" w:rsidRPr="003F5F1C" w:rsidRDefault="005D5256"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Stronger local oversight and inc</w:t>
            </w:r>
            <w:r w:rsidR="00F62C85" w:rsidRPr="003F5F1C">
              <w:rPr>
                <w:rFonts w:ascii="Calibri" w:hAnsi="Calibri" w:cs="Calibri"/>
                <w:sz w:val="20"/>
              </w:rPr>
              <w:t>lusion in decision making</w:t>
            </w:r>
          </w:p>
        </w:tc>
      </w:tr>
      <w:tr w:rsidR="00AC3A8F" w:rsidRPr="003F5F1C" w14:paraId="4E004F93"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5A9D7EAF" w14:textId="02FAFD76" w:rsidR="00AC3A8F" w:rsidRPr="003F5F1C" w:rsidRDefault="00BA6C7E" w:rsidP="00327305">
            <w:pPr>
              <w:rPr>
                <w:rFonts w:ascii="Calibri" w:hAnsi="Calibri" w:cs="Calibri"/>
                <w:sz w:val="20"/>
              </w:rPr>
            </w:pPr>
            <w:r w:rsidRPr="003F5F1C">
              <w:rPr>
                <w:rFonts w:ascii="Calibri" w:hAnsi="Calibri" w:cs="Calibri"/>
                <w:sz w:val="20"/>
              </w:rPr>
              <w:t>Expansion of oil and</w:t>
            </w:r>
            <w:r w:rsidR="006C2169" w:rsidRPr="003F5F1C">
              <w:rPr>
                <w:rFonts w:ascii="Calibri" w:hAnsi="Calibri" w:cs="Calibri"/>
                <w:sz w:val="20"/>
              </w:rPr>
              <w:t xml:space="preserve"> infrastructure projects </w:t>
            </w:r>
            <w:r w:rsidR="00077C78">
              <w:rPr>
                <w:rFonts w:ascii="Calibri" w:hAnsi="Calibri" w:cs="Calibri"/>
                <w:sz w:val="20"/>
              </w:rPr>
              <w:t xml:space="preserve">to </w:t>
            </w:r>
            <w:r w:rsidR="006C2169" w:rsidRPr="003F5F1C">
              <w:rPr>
                <w:rFonts w:ascii="Calibri" w:hAnsi="Calibri" w:cs="Calibri"/>
                <w:sz w:val="20"/>
              </w:rPr>
              <w:t xml:space="preserve">community </w:t>
            </w:r>
            <w:r w:rsidR="006A5195" w:rsidRPr="003F5F1C">
              <w:rPr>
                <w:rFonts w:ascii="Calibri" w:hAnsi="Calibri" w:cs="Calibri"/>
                <w:sz w:val="20"/>
              </w:rPr>
              <w:t xml:space="preserve">before land </w:t>
            </w:r>
            <w:r w:rsidR="006948C5" w:rsidRPr="003F5F1C">
              <w:rPr>
                <w:rFonts w:ascii="Calibri" w:hAnsi="Calibri" w:cs="Calibri"/>
                <w:sz w:val="20"/>
              </w:rPr>
              <w:t>rights</w:t>
            </w:r>
            <w:r w:rsidR="00E672B7">
              <w:rPr>
                <w:rFonts w:ascii="Calibri" w:hAnsi="Calibri" w:cs="Calibri"/>
                <w:sz w:val="20"/>
              </w:rPr>
              <w:t xml:space="preserve"> are</w:t>
            </w:r>
            <w:r w:rsidR="006948C5" w:rsidRPr="003F5F1C">
              <w:rPr>
                <w:rFonts w:ascii="Calibri" w:hAnsi="Calibri" w:cs="Calibri"/>
                <w:sz w:val="20"/>
              </w:rPr>
              <w:t xml:space="preserve"> secured</w:t>
            </w:r>
          </w:p>
        </w:tc>
        <w:tc>
          <w:tcPr>
            <w:tcW w:w="2460" w:type="dxa"/>
          </w:tcPr>
          <w:p w14:paraId="6711E70C" w14:textId="0AAFB4D2" w:rsidR="00AC3A8F" w:rsidRPr="003F5F1C" w:rsidRDefault="00F75103"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Loss of grazing land, restricted</w:t>
            </w:r>
            <w:r w:rsidR="00A80D64" w:rsidRPr="003F5F1C">
              <w:rPr>
                <w:rFonts w:ascii="Calibri" w:hAnsi="Calibri" w:cs="Calibri"/>
                <w:sz w:val="20"/>
              </w:rPr>
              <w:t xml:space="preserve"> access routes </w:t>
            </w:r>
            <w:r w:rsidR="001E52D2" w:rsidRPr="003F5F1C">
              <w:rPr>
                <w:rFonts w:ascii="Calibri" w:hAnsi="Calibri" w:cs="Calibri"/>
                <w:sz w:val="20"/>
              </w:rPr>
              <w:t>and livelihood uncertainty for pastoral communities</w:t>
            </w:r>
          </w:p>
        </w:tc>
        <w:tc>
          <w:tcPr>
            <w:tcW w:w="2460" w:type="dxa"/>
          </w:tcPr>
          <w:p w14:paraId="34D9B1A5" w14:textId="1BB152A0" w:rsidR="00AC3A8F" w:rsidRPr="003F5F1C" w:rsidRDefault="00035FF6"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Legal mobilisation, land registration initiat</w:t>
            </w:r>
            <w:r w:rsidR="00746CCE" w:rsidRPr="003F5F1C">
              <w:rPr>
                <w:rFonts w:ascii="Calibri" w:hAnsi="Calibri" w:cs="Calibri"/>
                <w:sz w:val="20"/>
              </w:rPr>
              <w:t>ives and community monitoring</w:t>
            </w:r>
          </w:p>
        </w:tc>
        <w:tc>
          <w:tcPr>
            <w:tcW w:w="2460" w:type="dxa"/>
          </w:tcPr>
          <w:p w14:paraId="1E80CB34" w14:textId="7250BA1F" w:rsidR="00AC3A8F" w:rsidRPr="003F5F1C" w:rsidRDefault="00746CCE"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Securing community land rights</w:t>
            </w:r>
            <w:r w:rsidR="004753B6" w:rsidRPr="003F5F1C">
              <w:rPr>
                <w:rFonts w:ascii="Calibri" w:hAnsi="Calibri" w:cs="Calibri"/>
                <w:sz w:val="20"/>
              </w:rPr>
              <w:t xml:space="preserve"> before project expansion</w:t>
            </w:r>
          </w:p>
        </w:tc>
      </w:tr>
      <w:tr w:rsidR="00AC3A8F" w:rsidRPr="003F5F1C" w14:paraId="0D9B4F4C"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7CF99164" w14:textId="332FE2CD" w:rsidR="00AC3A8F" w:rsidRPr="003F5F1C" w:rsidRDefault="004753B6" w:rsidP="00327305">
            <w:pPr>
              <w:rPr>
                <w:rFonts w:ascii="Calibri" w:hAnsi="Calibri" w:cs="Calibri"/>
                <w:sz w:val="20"/>
              </w:rPr>
            </w:pPr>
            <w:r w:rsidRPr="003F5F1C">
              <w:rPr>
                <w:rFonts w:ascii="Calibri" w:hAnsi="Calibri" w:cs="Calibri"/>
                <w:sz w:val="20"/>
              </w:rPr>
              <w:t>Participation pr</w:t>
            </w:r>
            <w:r w:rsidR="00FB63A2" w:rsidRPr="003F5F1C">
              <w:rPr>
                <w:rFonts w:ascii="Calibri" w:hAnsi="Calibri" w:cs="Calibri"/>
                <w:sz w:val="20"/>
              </w:rPr>
              <w:t xml:space="preserve">ocesses </w:t>
            </w:r>
            <w:r w:rsidR="000B592E" w:rsidRPr="003F5F1C">
              <w:rPr>
                <w:rFonts w:ascii="Calibri" w:hAnsi="Calibri" w:cs="Calibri"/>
                <w:sz w:val="20"/>
              </w:rPr>
              <w:t xml:space="preserve">with </w:t>
            </w:r>
            <w:r w:rsidR="00FB63A2" w:rsidRPr="003F5F1C">
              <w:rPr>
                <w:rFonts w:ascii="Calibri" w:hAnsi="Calibri" w:cs="Calibri"/>
                <w:sz w:val="20"/>
              </w:rPr>
              <w:t xml:space="preserve">limited </w:t>
            </w:r>
            <w:r w:rsidR="00077456" w:rsidRPr="003F5F1C">
              <w:rPr>
                <w:rFonts w:ascii="Calibri" w:hAnsi="Calibri" w:cs="Calibri"/>
                <w:sz w:val="20"/>
              </w:rPr>
              <w:t>decision-making</w:t>
            </w:r>
            <w:r w:rsidR="00FB63A2" w:rsidRPr="003F5F1C">
              <w:rPr>
                <w:rFonts w:ascii="Calibri" w:hAnsi="Calibri" w:cs="Calibri"/>
                <w:sz w:val="20"/>
              </w:rPr>
              <w:t xml:space="preserve"> authority</w:t>
            </w:r>
          </w:p>
        </w:tc>
        <w:tc>
          <w:tcPr>
            <w:tcW w:w="2460" w:type="dxa"/>
          </w:tcPr>
          <w:p w14:paraId="0D4BA51D" w14:textId="518D4F27" w:rsidR="00AC3A8F" w:rsidRPr="003F5F1C" w:rsidRDefault="00FB63A2"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Growing mi</w:t>
            </w:r>
            <w:r w:rsidR="00384A1F" w:rsidRPr="003F5F1C">
              <w:rPr>
                <w:rFonts w:ascii="Calibri" w:hAnsi="Calibri" w:cs="Calibri"/>
                <w:sz w:val="20"/>
              </w:rPr>
              <w:t xml:space="preserve">strust toward </w:t>
            </w:r>
            <w:r w:rsidR="005F08E4" w:rsidRPr="003F5F1C">
              <w:rPr>
                <w:rFonts w:ascii="Calibri" w:hAnsi="Calibri" w:cs="Calibri"/>
                <w:sz w:val="20"/>
              </w:rPr>
              <w:t>state</w:t>
            </w:r>
            <w:r w:rsidR="00540DCC" w:rsidRPr="003F5F1C">
              <w:rPr>
                <w:rFonts w:ascii="Calibri" w:hAnsi="Calibri" w:cs="Calibri"/>
                <w:sz w:val="20"/>
              </w:rPr>
              <w:t xml:space="preserve">, </w:t>
            </w:r>
            <w:r w:rsidR="00A966F9" w:rsidRPr="003F5F1C">
              <w:rPr>
                <w:rFonts w:ascii="Calibri" w:hAnsi="Calibri" w:cs="Calibri"/>
                <w:sz w:val="20"/>
              </w:rPr>
              <w:t>institutions</w:t>
            </w:r>
            <w:r w:rsidR="00437274" w:rsidRPr="003F5F1C">
              <w:rPr>
                <w:rFonts w:ascii="Calibri" w:hAnsi="Calibri" w:cs="Calibri"/>
                <w:sz w:val="20"/>
              </w:rPr>
              <w:t xml:space="preserve"> and </w:t>
            </w:r>
            <w:r w:rsidR="00062917" w:rsidRPr="003F5F1C">
              <w:rPr>
                <w:rFonts w:ascii="Calibri" w:hAnsi="Calibri" w:cs="Calibri"/>
                <w:sz w:val="20"/>
              </w:rPr>
              <w:t>project</w:t>
            </w:r>
            <w:r w:rsidR="005E2DF6" w:rsidRPr="003F5F1C">
              <w:rPr>
                <w:rFonts w:ascii="Calibri" w:hAnsi="Calibri" w:cs="Calibri"/>
                <w:sz w:val="20"/>
              </w:rPr>
              <w:t xml:space="preserve"> developers</w:t>
            </w:r>
          </w:p>
        </w:tc>
        <w:tc>
          <w:tcPr>
            <w:tcW w:w="2460" w:type="dxa"/>
          </w:tcPr>
          <w:p w14:paraId="2A09FFB6" w14:textId="157747D9" w:rsidR="00AC3A8F" w:rsidRPr="003F5F1C" w:rsidRDefault="00506AEB"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 xml:space="preserve">Community </w:t>
            </w:r>
            <w:r w:rsidR="00A0514F" w:rsidRPr="003F5F1C">
              <w:rPr>
                <w:rFonts w:ascii="Calibri" w:hAnsi="Calibri" w:cs="Calibri"/>
                <w:sz w:val="20"/>
              </w:rPr>
              <w:t>advocacy</w:t>
            </w:r>
            <w:r w:rsidR="000F210E" w:rsidRPr="003F5F1C">
              <w:rPr>
                <w:rFonts w:ascii="Calibri" w:hAnsi="Calibri" w:cs="Calibri"/>
                <w:sz w:val="20"/>
              </w:rPr>
              <w:t>, engagement with</w:t>
            </w:r>
            <w:r w:rsidR="00E03A51" w:rsidRPr="003F5F1C">
              <w:rPr>
                <w:rFonts w:ascii="Calibri" w:hAnsi="Calibri" w:cs="Calibri"/>
                <w:sz w:val="20"/>
              </w:rPr>
              <w:t xml:space="preserve"> civil society </w:t>
            </w:r>
            <w:r w:rsidR="00677ED7" w:rsidRPr="003F5F1C">
              <w:rPr>
                <w:rFonts w:ascii="Calibri" w:hAnsi="Calibri" w:cs="Calibri"/>
                <w:sz w:val="20"/>
              </w:rPr>
              <w:t xml:space="preserve">to demand </w:t>
            </w:r>
            <w:r w:rsidR="005D3218" w:rsidRPr="003F5F1C">
              <w:rPr>
                <w:rFonts w:ascii="Calibri" w:hAnsi="Calibri" w:cs="Calibri"/>
                <w:sz w:val="20"/>
              </w:rPr>
              <w:t>inclusion</w:t>
            </w:r>
          </w:p>
        </w:tc>
        <w:tc>
          <w:tcPr>
            <w:tcW w:w="2460" w:type="dxa"/>
          </w:tcPr>
          <w:p w14:paraId="5CA3A91B" w14:textId="022CF547" w:rsidR="00AC3A8F" w:rsidRPr="003F5F1C" w:rsidRDefault="00A5683F"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 xml:space="preserve">Shift participation from </w:t>
            </w:r>
            <w:r w:rsidR="00080CA2" w:rsidRPr="003F5F1C">
              <w:rPr>
                <w:rFonts w:ascii="Calibri" w:hAnsi="Calibri" w:cs="Calibri"/>
                <w:sz w:val="20"/>
              </w:rPr>
              <w:t>consultation to shared authority</w:t>
            </w:r>
          </w:p>
        </w:tc>
      </w:tr>
      <w:tr w:rsidR="00AC3A8F" w:rsidRPr="003F5F1C" w14:paraId="6C8A2CE2"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1A3DCBF6" w14:textId="555E83B7" w:rsidR="00AC3A8F" w:rsidRPr="003F5F1C" w:rsidRDefault="000E2C3E" w:rsidP="00327305">
            <w:pPr>
              <w:rPr>
                <w:rFonts w:ascii="Calibri" w:hAnsi="Calibri" w:cs="Calibri"/>
                <w:sz w:val="20"/>
              </w:rPr>
            </w:pPr>
            <w:r w:rsidRPr="003F5F1C">
              <w:rPr>
                <w:rFonts w:ascii="Calibri" w:hAnsi="Calibri" w:cs="Calibri"/>
                <w:sz w:val="20"/>
              </w:rPr>
              <w:t xml:space="preserve">Weak enforcement of environmental </w:t>
            </w:r>
            <w:r w:rsidR="00EF5D20" w:rsidRPr="003F5F1C">
              <w:rPr>
                <w:rFonts w:ascii="Calibri" w:hAnsi="Calibri" w:cs="Calibri"/>
                <w:sz w:val="20"/>
              </w:rPr>
              <w:t>monitoring and enforcement</w:t>
            </w:r>
          </w:p>
        </w:tc>
        <w:tc>
          <w:tcPr>
            <w:tcW w:w="2460" w:type="dxa"/>
          </w:tcPr>
          <w:p w14:paraId="4FC65C6E" w14:textId="05D91B4E" w:rsidR="00AC3A8F" w:rsidRPr="003F5F1C" w:rsidRDefault="00425AD6"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Environmental risks and concerns over water contamination</w:t>
            </w:r>
            <w:r w:rsidR="00465A04" w:rsidRPr="003F5F1C">
              <w:rPr>
                <w:rFonts w:ascii="Calibri" w:hAnsi="Calibri" w:cs="Calibri"/>
                <w:sz w:val="20"/>
              </w:rPr>
              <w:t xml:space="preserve"> and livestock impacts</w:t>
            </w:r>
          </w:p>
        </w:tc>
        <w:tc>
          <w:tcPr>
            <w:tcW w:w="2460" w:type="dxa"/>
          </w:tcPr>
          <w:p w14:paraId="07D4CD6B" w14:textId="4169943D" w:rsidR="00AC3A8F" w:rsidRPr="003F5F1C" w:rsidRDefault="00A71F47"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Community reporting of environmental grievances</w:t>
            </w:r>
            <w:r w:rsidR="00B11BEC" w:rsidRPr="003F5F1C">
              <w:rPr>
                <w:rFonts w:ascii="Calibri" w:hAnsi="Calibri" w:cs="Calibri"/>
                <w:sz w:val="20"/>
              </w:rPr>
              <w:t xml:space="preserve"> and monitoring</w:t>
            </w:r>
          </w:p>
        </w:tc>
        <w:tc>
          <w:tcPr>
            <w:tcW w:w="2460" w:type="dxa"/>
          </w:tcPr>
          <w:p w14:paraId="09D9331A" w14:textId="5F88DB8F" w:rsidR="00AC3A8F" w:rsidRPr="003F5F1C" w:rsidRDefault="005712D9"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Strengthen</w:t>
            </w:r>
            <w:r w:rsidR="00766654" w:rsidRPr="003F5F1C">
              <w:rPr>
                <w:rFonts w:ascii="Calibri" w:hAnsi="Calibri" w:cs="Calibri"/>
                <w:sz w:val="20"/>
              </w:rPr>
              <w:t xml:space="preserve"> independent </w:t>
            </w:r>
            <w:r w:rsidR="000C1963" w:rsidRPr="003F5F1C">
              <w:rPr>
                <w:rFonts w:ascii="Calibri" w:hAnsi="Calibri" w:cs="Calibri"/>
                <w:sz w:val="20"/>
              </w:rPr>
              <w:t xml:space="preserve">environmental oversight and transparent </w:t>
            </w:r>
            <w:r w:rsidR="00C025A6" w:rsidRPr="003F5F1C">
              <w:rPr>
                <w:rFonts w:ascii="Calibri" w:hAnsi="Calibri" w:cs="Calibri"/>
                <w:sz w:val="20"/>
              </w:rPr>
              <w:t>monitoring</w:t>
            </w:r>
          </w:p>
        </w:tc>
      </w:tr>
      <w:tr w:rsidR="00AC3A8F" w:rsidRPr="003F5F1C" w14:paraId="57821952"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0BE8BC09" w14:textId="7FF62B0D" w:rsidR="00AC3A8F" w:rsidRPr="003F5F1C" w:rsidRDefault="00C025A6" w:rsidP="00327305">
            <w:pPr>
              <w:rPr>
                <w:rFonts w:ascii="Calibri" w:hAnsi="Calibri" w:cs="Calibri"/>
                <w:sz w:val="20"/>
              </w:rPr>
            </w:pPr>
            <w:r w:rsidRPr="003F5F1C">
              <w:rPr>
                <w:rFonts w:ascii="Calibri" w:hAnsi="Calibri" w:cs="Calibri"/>
                <w:sz w:val="20"/>
              </w:rPr>
              <w:t>Limited transparency in revenue</w:t>
            </w:r>
            <w:r w:rsidR="00DF4BF7" w:rsidRPr="003F5F1C">
              <w:rPr>
                <w:rFonts w:ascii="Calibri" w:hAnsi="Calibri" w:cs="Calibri"/>
                <w:sz w:val="20"/>
              </w:rPr>
              <w:t xml:space="preserve"> management and benefit distribution</w:t>
            </w:r>
          </w:p>
        </w:tc>
        <w:tc>
          <w:tcPr>
            <w:tcW w:w="2460" w:type="dxa"/>
          </w:tcPr>
          <w:p w14:paraId="7A826854" w14:textId="1BDE5DAE" w:rsidR="00AC3A8F" w:rsidRPr="003F5F1C" w:rsidRDefault="00DF4BF7"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 xml:space="preserve">Perceptions that oil benefits are </w:t>
            </w:r>
            <w:r w:rsidR="004755CB" w:rsidRPr="003F5F1C">
              <w:rPr>
                <w:rFonts w:ascii="Calibri" w:hAnsi="Calibri" w:cs="Calibri"/>
                <w:sz w:val="20"/>
              </w:rPr>
              <w:t>captured by political or external actors</w:t>
            </w:r>
          </w:p>
        </w:tc>
        <w:tc>
          <w:tcPr>
            <w:tcW w:w="2460" w:type="dxa"/>
          </w:tcPr>
          <w:p w14:paraId="77E94E28" w14:textId="61BB3B58" w:rsidR="00AC3A8F" w:rsidRPr="003F5F1C" w:rsidRDefault="004E580A"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community</w:t>
            </w:r>
            <w:r w:rsidR="004755CB" w:rsidRPr="003F5F1C">
              <w:rPr>
                <w:rFonts w:ascii="Calibri" w:hAnsi="Calibri" w:cs="Calibri"/>
                <w:sz w:val="20"/>
              </w:rPr>
              <w:t xml:space="preserve"> mobili</w:t>
            </w:r>
            <w:r w:rsidR="009F5DEE" w:rsidRPr="003F5F1C">
              <w:rPr>
                <w:rFonts w:ascii="Calibri" w:hAnsi="Calibri" w:cs="Calibri"/>
                <w:sz w:val="20"/>
              </w:rPr>
              <w:t>sation for trans</w:t>
            </w:r>
            <w:r w:rsidR="000E08EF" w:rsidRPr="003F5F1C">
              <w:rPr>
                <w:rFonts w:ascii="Calibri" w:hAnsi="Calibri" w:cs="Calibri"/>
                <w:sz w:val="20"/>
              </w:rPr>
              <w:t>parency and accountability in benefit s</w:t>
            </w:r>
            <w:r w:rsidR="00AF4406" w:rsidRPr="003F5F1C">
              <w:rPr>
                <w:rFonts w:ascii="Calibri" w:hAnsi="Calibri" w:cs="Calibri"/>
                <w:sz w:val="20"/>
              </w:rPr>
              <w:t>haring</w:t>
            </w:r>
          </w:p>
        </w:tc>
        <w:tc>
          <w:tcPr>
            <w:tcW w:w="2460" w:type="dxa"/>
          </w:tcPr>
          <w:p w14:paraId="4C68473F" w14:textId="36AC8DB7" w:rsidR="00AC3A8F" w:rsidRPr="003F5F1C" w:rsidRDefault="00AF4406"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Improve</w:t>
            </w:r>
            <w:r w:rsidR="00A25918" w:rsidRPr="003F5F1C">
              <w:rPr>
                <w:rFonts w:ascii="Calibri" w:hAnsi="Calibri" w:cs="Calibri"/>
                <w:sz w:val="20"/>
              </w:rPr>
              <w:t>d</w:t>
            </w:r>
            <w:r w:rsidRPr="003F5F1C">
              <w:rPr>
                <w:rFonts w:ascii="Calibri" w:hAnsi="Calibri" w:cs="Calibri"/>
                <w:sz w:val="20"/>
              </w:rPr>
              <w:t xml:space="preserve"> transparency and equitable benefit sharing systems</w:t>
            </w:r>
          </w:p>
        </w:tc>
      </w:tr>
      <w:tr w:rsidR="00A25918" w:rsidRPr="003F5F1C" w14:paraId="227A2870" w14:textId="77777777" w:rsidTr="003F5F1C">
        <w:tc>
          <w:tcPr>
            <w:cnfStyle w:val="001000000000" w:firstRow="0" w:lastRow="0" w:firstColumn="1" w:lastColumn="0" w:oddVBand="0" w:evenVBand="0" w:oddHBand="0" w:evenHBand="0" w:firstRowFirstColumn="0" w:firstRowLastColumn="0" w:lastRowFirstColumn="0" w:lastRowLastColumn="0"/>
            <w:tcW w:w="2460" w:type="dxa"/>
          </w:tcPr>
          <w:p w14:paraId="31E5FCB4" w14:textId="1EF006A8" w:rsidR="00A25918" w:rsidRPr="003F5F1C" w:rsidRDefault="00DE5B6A" w:rsidP="00327305">
            <w:pPr>
              <w:rPr>
                <w:rFonts w:ascii="Calibri" w:hAnsi="Calibri" w:cs="Calibri"/>
                <w:sz w:val="20"/>
              </w:rPr>
            </w:pPr>
            <w:r w:rsidRPr="003F5F1C">
              <w:rPr>
                <w:rFonts w:ascii="Calibri" w:hAnsi="Calibri" w:cs="Calibri"/>
                <w:sz w:val="20"/>
              </w:rPr>
              <w:t>Social and en</w:t>
            </w:r>
            <w:r w:rsidR="00DE3DF4" w:rsidRPr="003F5F1C">
              <w:rPr>
                <w:rFonts w:ascii="Calibri" w:hAnsi="Calibri" w:cs="Calibri"/>
                <w:sz w:val="20"/>
              </w:rPr>
              <w:t>vironmental management relies heavily on voluntary corporate</w:t>
            </w:r>
            <w:r w:rsidR="003D7698" w:rsidRPr="003F5F1C">
              <w:rPr>
                <w:rFonts w:ascii="Calibri" w:hAnsi="Calibri" w:cs="Calibri"/>
                <w:sz w:val="20"/>
              </w:rPr>
              <w:t xml:space="preserve"> commitments</w:t>
            </w:r>
            <w:r w:rsidR="008D7D17">
              <w:rPr>
                <w:rFonts w:ascii="Calibri" w:hAnsi="Calibri" w:cs="Calibri"/>
                <w:sz w:val="20"/>
              </w:rPr>
              <w:t>.</w:t>
            </w:r>
            <w:r w:rsidR="003D7698" w:rsidRPr="003F5F1C">
              <w:rPr>
                <w:rFonts w:ascii="Calibri" w:hAnsi="Calibri" w:cs="Calibri"/>
                <w:sz w:val="20"/>
              </w:rPr>
              <w:t xml:space="preserve"> </w:t>
            </w:r>
          </w:p>
        </w:tc>
        <w:tc>
          <w:tcPr>
            <w:tcW w:w="2460" w:type="dxa"/>
          </w:tcPr>
          <w:p w14:paraId="5F1C569C" w14:textId="28DAA6A8" w:rsidR="00A25918" w:rsidRPr="003F5F1C" w:rsidRDefault="003D7698"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Weak public oversight</w:t>
            </w:r>
            <w:r w:rsidR="003A4B4A" w:rsidRPr="003F5F1C">
              <w:rPr>
                <w:rFonts w:ascii="Calibri" w:hAnsi="Calibri" w:cs="Calibri"/>
                <w:sz w:val="20"/>
              </w:rPr>
              <w:t xml:space="preserve">, limited accountability and </w:t>
            </w:r>
            <w:r w:rsidR="00042637" w:rsidRPr="003F5F1C">
              <w:rPr>
                <w:rFonts w:ascii="Calibri" w:hAnsi="Calibri" w:cs="Calibri"/>
                <w:sz w:val="20"/>
              </w:rPr>
              <w:t>unclear</w:t>
            </w:r>
            <w:r w:rsidR="003C3FD0" w:rsidRPr="003F5F1C">
              <w:rPr>
                <w:rFonts w:ascii="Calibri" w:hAnsi="Calibri" w:cs="Calibri"/>
                <w:sz w:val="20"/>
              </w:rPr>
              <w:t xml:space="preserve"> </w:t>
            </w:r>
            <w:r w:rsidR="00B61DC3" w:rsidRPr="003F5F1C">
              <w:rPr>
                <w:rFonts w:ascii="Calibri" w:hAnsi="Calibri" w:cs="Calibri"/>
                <w:sz w:val="20"/>
              </w:rPr>
              <w:t xml:space="preserve">avenues </w:t>
            </w:r>
            <w:r w:rsidR="00042637" w:rsidRPr="003F5F1C">
              <w:rPr>
                <w:rFonts w:ascii="Calibri" w:hAnsi="Calibri" w:cs="Calibri"/>
                <w:sz w:val="20"/>
              </w:rPr>
              <w:t xml:space="preserve">for communities </w:t>
            </w:r>
            <w:r w:rsidR="00B61DC3" w:rsidRPr="003F5F1C">
              <w:rPr>
                <w:rFonts w:ascii="Calibri" w:hAnsi="Calibri" w:cs="Calibri"/>
                <w:sz w:val="20"/>
              </w:rPr>
              <w:t xml:space="preserve">to report </w:t>
            </w:r>
            <w:r w:rsidR="00B7317E" w:rsidRPr="003F5F1C">
              <w:rPr>
                <w:rFonts w:ascii="Calibri" w:hAnsi="Calibri" w:cs="Calibri"/>
                <w:sz w:val="20"/>
              </w:rPr>
              <w:t>harm or seek remedy</w:t>
            </w:r>
          </w:p>
        </w:tc>
        <w:tc>
          <w:tcPr>
            <w:tcW w:w="2460" w:type="dxa"/>
          </w:tcPr>
          <w:p w14:paraId="5D339AFA" w14:textId="21C6CE0C" w:rsidR="00A25918" w:rsidRPr="003F5F1C" w:rsidRDefault="00B7317E"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Community complaints, petitions and advocacy efforts</w:t>
            </w:r>
          </w:p>
        </w:tc>
        <w:tc>
          <w:tcPr>
            <w:tcW w:w="2460" w:type="dxa"/>
          </w:tcPr>
          <w:p w14:paraId="1FCD4FC6" w14:textId="7F084AD9" w:rsidR="00A25918" w:rsidRPr="003F5F1C" w:rsidRDefault="008C4C2F" w:rsidP="003F5F1C">
            <w:pPr>
              <w:spacing w:after="20"/>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3F5F1C">
              <w:rPr>
                <w:rFonts w:ascii="Calibri" w:hAnsi="Calibri" w:cs="Calibri"/>
                <w:sz w:val="20"/>
              </w:rPr>
              <w:t xml:space="preserve">Strengthen </w:t>
            </w:r>
            <w:r w:rsidR="00BA68D7" w:rsidRPr="003F5F1C">
              <w:rPr>
                <w:rFonts w:ascii="Calibri" w:hAnsi="Calibri" w:cs="Calibri"/>
                <w:sz w:val="20"/>
              </w:rPr>
              <w:t>state oversight through independent monitoring</w:t>
            </w:r>
            <w:r w:rsidR="00B3169C" w:rsidRPr="003F5F1C">
              <w:rPr>
                <w:rFonts w:ascii="Calibri" w:hAnsi="Calibri" w:cs="Calibri"/>
                <w:sz w:val="20"/>
              </w:rPr>
              <w:t>,</w:t>
            </w:r>
            <w:r w:rsidR="00C66EC7" w:rsidRPr="003F5F1C">
              <w:rPr>
                <w:rFonts w:ascii="Calibri" w:hAnsi="Calibri" w:cs="Calibri"/>
                <w:sz w:val="20"/>
              </w:rPr>
              <w:t xml:space="preserve"> accessible grievance systems </w:t>
            </w:r>
            <w:r w:rsidR="00A30A8C" w:rsidRPr="003F5F1C">
              <w:rPr>
                <w:rFonts w:ascii="Calibri" w:hAnsi="Calibri" w:cs="Calibri"/>
                <w:sz w:val="20"/>
              </w:rPr>
              <w:t xml:space="preserve">and </w:t>
            </w:r>
            <w:r w:rsidR="00A86C78" w:rsidRPr="003F5F1C">
              <w:rPr>
                <w:rFonts w:ascii="Calibri" w:hAnsi="Calibri" w:cs="Calibri"/>
                <w:sz w:val="20"/>
              </w:rPr>
              <w:t>transparent</w:t>
            </w:r>
            <w:r w:rsidRPr="003F5F1C">
              <w:rPr>
                <w:rFonts w:ascii="Calibri" w:hAnsi="Calibri" w:cs="Calibri"/>
                <w:sz w:val="20"/>
              </w:rPr>
              <w:t xml:space="preserve"> environmental information</w:t>
            </w:r>
          </w:p>
        </w:tc>
      </w:tr>
    </w:tbl>
    <w:p w14:paraId="1EFA71AC" w14:textId="77777777" w:rsidR="00832493" w:rsidRDefault="00832493" w:rsidP="00D04C39">
      <w:pPr>
        <w:jc w:val="right"/>
        <w:rPr>
          <w:rStyle w:val="Emphasis"/>
          <w:color w:val="864EA8" w:themeColor="accent1" w:themeShade="BF"/>
        </w:rPr>
      </w:pPr>
    </w:p>
    <w:p w14:paraId="2D0F986A" w14:textId="4889CC98" w:rsidR="00D04C39" w:rsidRPr="003F5F1C" w:rsidRDefault="00847DDE" w:rsidP="00D04C39">
      <w:pPr>
        <w:jc w:val="right"/>
        <w:rPr>
          <w:rStyle w:val="Emphasis"/>
          <w:color w:val="864EA8" w:themeColor="accent1" w:themeShade="BF"/>
          <w:sz w:val="20"/>
        </w:rPr>
      </w:pPr>
      <w:r>
        <w:rPr>
          <w:rStyle w:val="Emphasis"/>
          <w:color w:val="864EA8" w:themeColor="accent1" w:themeShade="BF"/>
          <w:sz w:val="20"/>
        </w:rPr>
        <w:t>Table</w:t>
      </w:r>
      <w:r w:rsidR="009E0348">
        <w:rPr>
          <w:rStyle w:val="Emphasis"/>
          <w:color w:val="864EA8" w:themeColor="accent1" w:themeShade="BF"/>
          <w:sz w:val="20"/>
        </w:rPr>
        <w:t xml:space="preserve"> A</w:t>
      </w:r>
      <w:r>
        <w:rPr>
          <w:rStyle w:val="Emphasis"/>
          <w:color w:val="864EA8" w:themeColor="accent1" w:themeShade="BF"/>
          <w:sz w:val="20"/>
        </w:rPr>
        <w:t>1</w:t>
      </w:r>
      <w:r w:rsidR="00D04C39" w:rsidRPr="003F5F1C">
        <w:rPr>
          <w:rStyle w:val="Emphasis"/>
          <w:color w:val="864EA8" w:themeColor="accent1" w:themeShade="BF"/>
          <w:sz w:val="20"/>
        </w:rPr>
        <w:t>: Table showing how community governance arrangements shape development outcomes and community responses in Turkana</w:t>
      </w:r>
    </w:p>
    <w:p w14:paraId="47814B98" w14:textId="3757C46A" w:rsidR="005A48EE" w:rsidRPr="003F5F1C" w:rsidRDefault="00D04C39" w:rsidP="00D04C39">
      <w:pPr>
        <w:jc w:val="right"/>
        <w:rPr>
          <w:rStyle w:val="Emphasis"/>
          <w:color w:val="864EA8" w:themeColor="accent1" w:themeShade="BF"/>
          <w:sz w:val="20"/>
        </w:rPr>
      </w:pPr>
      <w:r w:rsidRPr="003F5F1C">
        <w:rPr>
          <w:rStyle w:val="Emphasis"/>
          <w:color w:val="864EA8" w:themeColor="accent1" w:themeShade="BF"/>
          <w:sz w:val="20"/>
        </w:rPr>
        <w:t>(Source: author</w:t>
      </w:r>
      <w:r w:rsidR="008D7D17">
        <w:rPr>
          <w:rStyle w:val="Emphasis"/>
          <w:color w:val="864EA8" w:themeColor="accent1" w:themeShade="BF"/>
          <w:sz w:val="20"/>
        </w:rPr>
        <w:t>'</w:t>
      </w:r>
      <w:r w:rsidRPr="003F5F1C">
        <w:rPr>
          <w:rStyle w:val="Emphasis"/>
          <w:color w:val="864EA8" w:themeColor="accent1" w:themeShade="BF"/>
          <w:sz w:val="20"/>
        </w:rPr>
        <w:t>s own compilation from field work)</w:t>
      </w:r>
      <w:r w:rsidR="007F6BDC" w:rsidRPr="003F5F1C">
        <w:rPr>
          <w:rStyle w:val="Emphasis"/>
          <w:color w:val="864EA8" w:themeColor="accent1" w:themeShade="BF"/>
          <w:sz w:val="20"/>
        </w:rPr>
        <w:t>.</w:t>
      </w:r>
    </w:p>
    <w:sectPr w:rsidR="005A48EE" w:rsidRPr="003F5F1C" w:rsidSect="0020198B">
      <w:pgSz w:w="11907" w:h="16840" w:code="9"/>
      <w:pgMar w:top="851" w:right="851" w:bottom="1021" w:left="851" w:header="0" w:footer="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97B3" w14:textId="77777777" w:rsidR="005B2BCB" w:rsidRDefault="005B2BCB">
      <w:r>
        <w:separator/>
      </w:r>
    </w:p>
  </w:endnote>
  <w:endnote w:type="continuationSeparator" w:id="0">
    <w:p w14:paraId="665E49AB" w14:textId="77777777" w:rsidR="005B2BCB" w:rsidRDefault="005B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C0" w14:textId="77777777" w:rsidR="00C035A9" w:rsidRDefault="00C035A9">
    <w:pPr>
      <w:pStyle w:val="Footer"/>
      <w:framePr w:wrap="around" w:vAnchor="text" w:hAnchor="margin" w:xAlign="right" w:y="1"/>
    </w:pPr>
    <w:r>
      <w:fldChar w:fldCharType="begin"/>
    </w:r>
    <w:r>
      <w:instrText xml:space="preserve">PAGE  </w:instrText>
    </w:r>
    <w:r>
      <w:fldChar w:fldCharType="separate"/>
    </w:r>
    <w:r w:rsidR="00090811">
      <w:rPr>
        <w:noProof/>
      </w:rPr>
      <w:t>3</w:t>
    </w:r>
    <w:r>
      <w:fldChar w:fldCharType="end"/>
    </w:r>
  </w:p>
  <w:p w14:paraId="37F935C1" w14:textId="77777777" w:rsidR="00C035A9" w:rsidRDefault="00C035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7169633F" w14:textId="77777777" w:rsidTr="00F3682C">
      <w:trPr>
        <w:trHeight w:val="709"/>
      </w:trPr>
      <w:tc>
        <w:tcPr>
          <w:tcW w:w="2694" w:type="dxa"/>
          <w:shd w:val="clear" w:color="auto" w:fill="514DAA" w:themeFill="accent2" w:themeFillShade="BF"/>
        </w:tcPr>
        <w:p w14:paraId="6FE4FC77" w14:textId="0CE39F27" w:rsidR="00F3682C" w:rsidRDefault="00F3682C" w:rsidP="00047CA5">
          <w:pPr>
            <w:pStyle w:val="Footer"/>
            <w:tabs>
              <w:tab w:val="clear" w:pos="4320"/>
              <w:tab w:val="clear" w:pos="8640"/>
              <w:tab w:val="left" w:pos="2040"/>
              <w:tab w:val="right" w:pos="2478"/>
            </w:tabs>
          </w:pPr>
          <w:r w:rsidRPr="00F3682C">
            <w:rPr>
              <w:noProof/>
            </w:rPr>
            <w:drawing>
              <wp:inline distT="0" distB="0" distL="0" distR="0" wp14:anchorId="73116251" wp14:editId="7CF5B622">
                <wp:extent cx="419099" cy="426617"/>
                <wp:effectExtent l="0" t="0" r="635" b="0"/>
                <wp:docPr id="1458967159"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r w:rsidR="00047CA5">
            <w:tab/>
          </w:r>
        </w:p>
      </w:tc>
      <w:tc>
        <w:tcPr>
          <w:tcW w:w="9214" w:type="dxa"/>
          <w:shd w:val="clear" w:color="auto" w:fill="514DAA" w:themeFill="accent2" w:themeFillShade="BF"/>
        </w:tcPr>
        <w:p w14:paraId="3EB6445C" w14:textId="1D7CDF38" w:rsidR="00F3682C" w:rsidRPr="00F3682C" w:rsidRDefault="00F3682C" w:rsidP="00F50DA8">
          <w:pPr>
            <w:pStyle w:val="Footer"/>
            <w:spacing w:before="120" w:after="120"/>
            <w:rPr>
              <w:b/>
              <w:bCs/>
            </w:rPr>
          </w:pPr>
          <w:r w:rsidRPr="00F3682C">
            <w:rPr>
              <w:b/>
              <w:bCs/>
              <w:color w:val="FFFFFF" w:themeColor="background1"/>
            </w:rPr>
            <w:t xml:space="preserve">                                                                                 </w:t>
          </w:r>
          <w:r>
            <w:rPr>
              <w:b/>
              <w:bCs/>
              <w:color w:val="FFFFFF" w:themeColor="background1"/>
            </w:rPr>
            <w:t xml:space="preserve">   </w:t>
          </w:r>
          <w:r w:rsidR="00D7242F">
            <w:rPr>
              <w:b/>
              <w:bCs/>
              <w:color w:val="FFFFFF" w:themeColor="background1"/>
            </w:rPr>
            <w:t>Naomi Moraa Moya</w:t>
          </w:r>
          <w:r w:rsidRPr="00F3682C">
            <w:rPr>
              <w:b/>
              <w:bCs/>
              <w:color w:val="FFFFFF" w:themeColor="background1"/>
            </w:rPr>
            <w:t xml:space="preserve"> </w:t>
          </w:r>
        </w:p>
      </w:tc>
    </w:tr>
  </w:tbl>
  <w:p w14:paraId="37F935C2" w14:textId="39A1963F" w:rsidR="00C035A9" w:rsidRDefault="00C035A9">
    <w:pPr>
      <w:pStyle w:val="Footer"/>
      <w:tabs>
        <w:tab w:val="clear" w:pos="8640"/>
        <w:tab w:val="right" w:pos="9072"/>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214"/>
    </w:tblGrid>
    <w:tr w:rsidR="00F3682C" w14:paraId="0C849CCA" w14:textId="77777777" w:rsidTr="00F3682C">
      <w:trPr>
        <w:trHeight w:val="709"/>
      </w:trPr>
      <w:tc>
        <w:tcPr>
          <w:tcW w:w="2694" w:type="dxa"/>
          <w:shd w:val="clear" w:color="auto" w:fill="514DAA" w:themeFill="accent2" w:themeFillShade="BF"/>
        </w:tcPr>
        <w:p w14:paraId="1DE0B93B" w14:textId="1FCE50CA" w:rsidR="00F3682C" w:rsidRDefault="00F3682C" w:rsidP="00F3682C">
          <w:pPr>
            <w:pStyle w:val="Footer"/>
            <w:tabs>
              <w:tab w:val="clear" w:pos="4320"/>
              <w:tab w:val="clear" w:pos="8640"/>
              <w:tab w:val="right" w:pos="2478"/>
            </w:tabs>
          </w:pPr>
          <w:r w:rsidRPr="00F3682C">
            <w:rPr>
              <w:noProof/>
            </w:rPr>
            <w:drawing>
              <wp:inline distT="0" distB="0" distL="0" distR="0" wp14:anchorId="1ED142DE" wp14:editId="5CFEF02D">
                <wp:extent cx="419099" cy="426617"/>
                <wp:effectExtent l="0" t="0" r="635" b="0"/>
                <wp:docPr id="297627138" name="Picture 1" descr="A logo with swirl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3" name="Picture 1" descr="A logo with swirls and lines&#10;&#10;Description automatically generated"/>
                        <pic:cNvPicPr/>
                      </pic:nvPicPr>
                      <pic:blipFill>
                        <a:blip r:embed="rId1"/>
                        <a:stretch>
                          <a:fillRect/>
                        </a:stretch>
                      </pic:blipFill>
                      <pic:spPr>
                        <a:xfrm>
                          <a:off x="0" y="0"/>
                          <a:ext cx="430505" cy="438228"/>
                        </a:xfrm>
                        <a:prstGeom prst="rect">
                          <a:avLst/>
                        </a:prstGeom>
                      </pic:spPr>
                    </pic:pic>
                  </a:graphicData>
                </a:graphic>
              </wp:inline>
            </w:drawing>
          </w:r>
          <w:r>
            <w:tab/>
          </w:r>
        </w:p>
      </w:tc>
      <w:tc>
        <w:tcPr>
          <w:tcW w:w="9214" w:type="dxa"/>
          <w:shd w:val="clear" w:color="auto" w:fill="514DAA" w:themeFill="accent2" w:themeFillShade="BF"/>
        </w:tcPr>
        <w:p w14:paraId="512ED3EA" w14:textId="79273AA9" w:rsidR="00047CA5" w:rsidRPr="00F50DA8" w:rsidRDefault="00F3682C" w:rsidP="00F50DA8">
          <w:pPr>
            <w:pStyle w:val="Footer"/>
            <w:spacing w:before="120"/>
            <w:rPr>
              <w:b/>
              <w:bCs/>
              <w:color w:val="FFFFFF" w:themeColor="background1"/>
            </w:rPr>
          </w:pPr>
          <w:r w:rsidRPr="00F3682C">
            <w:rPr>
              <w:b/>
              <w:bCs/>
              <w:color w:val="FFFFFF" w:themeColor="background1"/>
            </w:rPr>
            <w:t xml:space="preserve">                                                                                 </w:t>
          </w:r>
          <w:r>
            <w:rPr>
              <w:b/>
              <w:bCs/>
              <w:color w:val="FFFFFF" w:themeColor="background1"/>
            </w:rPr>
            <w:t xml:space="preserve">       </w:t>
          </w:r>
          <w:r w:rsidR="00DE7959">
            <w:rPr>
              <w:b/>
              <w:bCs/>
              <w:color w:val="FFFFFF" w:themeColor="background1"/>
            </w:rPr>
            <w:t>Naomi Moraa Moy</w:t>
          </w:r>
          <w:r w:rsidR="00F50DA8">
            <w:rPr>
              <w:b/>
              <w:bCs/>
              <w:color w:val="FFFFFF" w:themeColor="background1"/>
            </w:rPr>
            <w:t>a</w:t>
          </w:r>
        </w:p>
      </w:tc>
    </w:tr>
  </w:tbl>
  <w:p w14:paraId="37F935CA" w14:textId="44E48AD9" w:rsidR="00C035A9" w:rsidRDefault="00F3682C" w:rsidP="00F3682C">
    <w:pPr>
      <w:pStyle w:val="Footer"/>
      <w:rPr>
        <w:sz w:val="18"/>
      </w:rP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24B3" w14:textId="77777777" w:rsidR="005B2BCB" w:rsidRDefault="005B2BCB">
      <w:r>
        <w:separator/>
      </w:r>
    </w:p>
  </w:footnote>
  <w:footnote w:type="continuationSeparator" w:id="0">
    <w:p w14:paraId="233652C2" w14:textId="77777777" w:rsidR="005B2BCB" w:rsidRDefault="005B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D" w14:textId="77777777" w:rsidR="00C035A9" w:rsidRDefault="00C035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811">
      <w:rPr>
        <w:rStyle w:val="PageNumber"/>
        <w:noProof/>
      </w:rPr>
      <w:t>3</w:t>
    </w:r>
    <w:r>
      <w:rPr>
        <w:rStyle w:val="PageNumber"/>
      </w:rPr>
      <w:fldChar w:fldCharType="end"/>
    </w:r>
  </w:p>
  <w:p w14:paraId="37F935BE" w14:textId="77777777" w:rsidR="00C035A9" w:rsidRDefault="00C03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35BF" w14:textId="68138929" w:rsidR="00C035A9" w:rsidRDefault="00C035A9">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8" w:type="dxa"/>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B5DD" w:themeFill="accent2" w:themeFillTint="99"/>
      <w:tblLook w:val="04A0" w:firstRow="1" w:lastRow="0" w:firstColumn="1" w:lastColumn="0" w:noHBand="0" w:noVBand="1"/>
    </w:tblPr>
    <w:tblGrid>
      <w:gridCol w:w="4050"/>
      <w:gridCol w:w="7858"/>
    </w:tblGrid>
    <w:tr w:rsidR="00831C12" w14:paraId="13E1D8B1" w14:textId="77777777" w:rsidTr="00831C12">
      <w:trPr>
        <w:trHeight w:val="1843"/>
      </w:trPr>
      <w:tc>
        <w:tcPr>
          <w:tcW w:w="4050" w:type="dxa"/>
          <w:shd w:val="clear" w:color="auto" w:fill="514DAA" w:themeFill="accent2" w:themeFillShade="BF"/>
        </w:tcPr>
        <w:p w14:paraId="564BFEC2" w14:textId="071A5B9C" w:rsidR="00831C12" w:rsidRPr="00831C12" w:rsidRDefault="00831C12" w:rsidP="00F3682C">
          <w:pPr>
            <w:ind w:left="-1523"/>
          </w:pPr>
          <w:r w:rsidRPr="00831C12">
            <w:rPr>
              <w:noProof/>
            </w:rPr>
            <w:drawing>
              <wp:anchor distT="0" distB="0" distL="114300" distR="114300" simplePos="0" relativeHeight="251658240" behindDoc="1" locked="0" layoutInCell="1" allowOverlap="1" wp14:anchorId="13B21678" wp14:editId="188C60B2">
                <wp:simplePos x="0" y="0"/>
                <wp:positionH relativeFrom="column">
                  <wp:posOffset>166370</wp:posOffset>
                </wp:positionH>
                <wp:positionV relativeFrom="paragraph">
                  <wp:posOffset>219075</wp:posOffset>
                </wp:positionV>
                <wp:extent cx="2257425" cy="767080"/>
                <wp:effectExtent l="0" t="0" r="9525" b="0"/>
                <wp:wrapThrough wrapText="bothSides">
                  <wp:wrapPolygon edited="0">
                    <wp:start x="0" y="0"/>
                    <wp:lineTo x="0" y="20921"/>
                    <wp:lineTo x="21509" y="20921"/>
                    <wp:lineTo x="21509" y="0"/>
                    <wp:lineTo x="0" y="0"/>
                  </wp:wrapPolygon>
                </wp:wrapThrough>
                <wp:docPr id="325943938" name="Picture 32594393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425" cy="767080"/>
                        </a:xfrm>
                        <a:prstGeom prst="rect">
                          <a:avLst/>
                        </a:prstGeom>
                      </pic:spPr>
                    </pic:pic>
                  </a:graphicData>
                </a:graphic>
              </wp:anchor>
            </w:drawing>
          </w:r>
        </w:p>
      </w:tc>
      <w:tc>
        <w:tcPr>
          <w:tcW w:w="7858" w:type="dxa"/>
          <w:shd w:val="clear" w:color="auto" w:fill="514DAA" w:themeFill="accent2" w:themeFillShade="BF"/>
        </w:tcPr>
        <w:p w14:paraId="704A461C" w14:textId="77777777" w:rsidR="00831C12" w:rsidRPr="00831C12" w:rsidRDefault="00831C12">
          <w:pPr>
            <w:rPr>
              <w:rFonts w:asciiTheme="majorHAnsi" w:hAnsiTheme="majorHAnsi" w:cstheme="minorHAnsi"/>
              <w:b/>
              <w:sz w:val="28"/>
              <w:szCs w:val="28"/>
            </w:rPr>
          </w:pPr>
        </w:p>
        <w:p w14:paraId="3E71509C" w14:textId="285FDA3E"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New Zealand Postgraduate Development Field Research Award</w:t>
          </w:r>
        </w:p>
        <w:p w14:paraId="26E67DF7" w14:textId="142F03B6" w:rsidR="00831C12" w:rsidRPr="00831C12" w:rsidRDefault="00831C12" w:rsidP="00831C12">
          <w:pPr>
            <w:spacing w:line="360" w:lineRule="auto"/>
            <w:rPr>
              <w:rFonts w:asciiTheme="majorHAnsi" w:hAnsiTheme="majorHAnsi" w:cstheme="minorHAnsi"/>
              <w:b/>
              <w:color w:val="FFFFFF" w:themeColor="background1"/>
              <w:sz w:val="26"/>
              <w:szCs w:val="26"/>
            </w:rPr>
          </w:pPr>
          <w:r w:rsidRPr="00831C12">
            <w:rPr>
              <w:rFonts w:asciiTheme="majorHAnsi" w:hAnsiTheme="majorHAnsi" w:cstheme="minorHAnsi"/>
              <w:b/>
              <w:color w:val="FFFFFF" w:themeColor="background1"/>
              <w:sz w:val="26"/>
              <w:szCs w:val="26"/>
            </w:rPr>
            <w:t>Policy Brief</w:t>
          </w:r>
        </w:p>
        <w:p w14:paraId="3C794892" w14:textId="3285BC88" w:rsidR="00831C12" w:rsidRPr="00831C12" w:rsidRDefault="00831C12" w:rsidP="00831C12">
          <w:pPr>
            <w:spacing w:line="360" w:lineRule="auto"/>
            <w:rPr>
              <w:rFonts w:asciiTheme="majorHAnsi" w:hAnsiTheme="majorHAnsi" w:cstheme="minorHAnsi"/>
              <w:b/>
              <w:sz w:val="24"/>
              <w:szCs w:val="24"/>
            </w:rPr>
          </w:pPr>
          <w:r w:rsidRPr="00831C12">
            <w:rPr>
              <w:rFonts w:asciiTheme="majorHAnsi" w:hAnsiTheme="majorHAnsi" w:cstheme="minorHAnsi"/>
              <w:b/>
              <w:color w:val="FFFFFF" w:themeColor="background1"/>
              <w:sz w:val="26"/>
              <w:szCs w:val="26"/>
            </w:rPr>
            <w:t>202</w:t>
          </w:r>
          <w:r w:rsidR="00DF3F8E">
            <w:rPr>
              <w:rFonts w:asciiTheme="majorHAnsi" w:hAnsiTheme="majorHAnsi" w:cstheme="minorHAnsi"/>
              <w:b/>
              <w:color w:val="FFFFFF" w:themeColor="background1"/>
              <w:sz w:val="26"/>
              <w:szCs w:val="26"/>
            </w:rPr>
            <w:t>6</w:t>
          </w:r>
          <w:r w:rsidRPr="00831C12">
            <w:rPr>
              <w:rFonts w:asciiTheme="majorHAnsi" w:hAnsiTheme="majorHAnsi" w:cstheme="minorHAnsi"/>
              <w:b/>
              <w:color w:val="FFFFFF" w:themeColor="background1"/>
              <w:sz w:val="26"/>
              <w:szCs w:val="26"/>
            </w:rPr>
            <w:t xml:space="preserve"> </w:t>
          </w:r>
        </w:p>
      </w:tc>
    </w:tr>
  </w:tbl>
  <w:p w14:paraId="7F431101" w14:textId="53073D23" w:rsidR="00F20EC1" w:rsidRDefault="00F20EC1" w:rsidP="00831C12">
    <w:pPr>
      <w:pStyle w:val="Header"/>
      <w:tabs>
        <w:tab w:val="clear" w:pos="4320"/>
        <w:tab w:val="clear" w:pos="8640"/>
        <w:tab w:val="center" w:pos="4536"/>
        <w:tab w:val="right" w:pos="90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7A9" w14:textId="045935A8" w:rsidR="00B90C33" w:rsidRDefault="00B90C33">
    <w:pPr>
      <w:pStyle w:val="Header"/>
      <w:tabs>
        <w:tab w:val="clear" w:pos="4320"/>
        <w:tab w:val="clear" w:pos="8640"/>
        <w:tab w:val="center" w:pos="4680"/>
        <w:tab w:val="right" w:pos="9360"/>
      </w:tab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1" w15:restartNumberingAfterBreak="0">
    <w:nsid w:val="1EF13276"/>
    <w:multiLevelType w:val="hybridMultilevel"/>
    <w:tmpl w:val="559C9F20"/>
    <w:lvl w:ilvl="0" w:tplc="18C45542">
      <w:start w:val="1"/>
      <w:numFmt w:val="lowerRoman"/>
      <w:lvlText w:val="%1)"/>
      <w:lvlJc w:val="left"/>
      <w:pPr>
        <w:ind w:left="1485" w:hanging="720"/>
      </w:pPr>
      <w:rPr>
        <w:rFonts w:hint="default"/>
      </w:rPr>
    </w:lvl>
    <w:lvl w:ilvl="1" w:tplc="14090019" w:tentative="1">
      <w:start w:val="1"/>
      <w:numFmt w:val="lowerLetter"/>
      <w:lvlText w:val="%2."/>
      <w:lvlJc w:val="left"/>
      <w:pPr>
        <w:ind w:left="1845" w:hanging="360"/>
      </w:pPr>
    </w:lvl>
    <w:lvl w:ilvl="2" w:tplc="1409001B" w:tentative="1">
      <w:start w:val="1"/>
      <w:numFmt w:val="lowerRoman"/>
      <w:lvlText w:val="%3."/>
      <w:lvlJc w:val="right"/>
      <w:pPr>
        <w:ind w:left="2565" w:hanging="180"/>
      </w:pPr>
    </w:lvl>
    <w:lvl w:ilvl="3" w:tplc="1409000F" w:tentative="1">
      <w:start w:val="1"/>
      <w:numFmt w:val="decimal"/>
      <w:lvlText w:val="%4."/>
      <w:lvlJc w:val="left"/>
      <w:pPr>
        <w:ind w:left="3285" w:hanging="360"/>
      </w:pPr>
    </w:lvl>
    <w:lvl w:ilvl="4" w:tplc="14090019" w:tentative="1">
      <w:start w:val="1"/>
      <w:numFmt w:val="lowerLetter"/>
      <w:lvlText w:val="%5."/>
      <w:lvlJc w:val="left"/>
      <w:pPr>
        <w:ind w:left="4005" w:hanging="360"/>
      </w:pPr>
    </w:lvl>
    <w:lvl w:ilvl="5" w:tplc="1409001B" w:tentative="1">
      <w:start w:val="1"/>
      <w:numFmt w:val="lowerRoman"/>
      <w:lvlText w:val="%6."/>
      <w:lvlJc w:val="right"/>
      <w:pPr>
        <w:ind w:left="4725" w:hanging="180"/>
      </w:pPr>
    </w:lvl>
    <w:lvl w:ilvl="6" w:tplc="1409000F" w:tentative="1">
      <w:start w:val="1"/>
      <w:numFmt w:val="decimal"/>
      <w:lvlText w:val="%7."/>
      <w:lvlJc w:val="left"/>
      <w:pPr>
        <w:ind w:left="5445" w:hanging="360"/>
      </w:pPr>
    </w:lvl>
    <w:lvl w:ilvl="7" w:tplc="14090019" w:tentative="1">
      <w:start w:val="1"/>
      <w:numFmt w:val="lowerLetter"/>
      <w:lvlText w:val="%8."/>
      <w:lvlJc w:val="left"/>
      <w:pPr>
        <w:ind w:left="6165" w:hanging="360"/>
      </w:pPr>
    </w:lvl>
    <w:lvl w:ilvl="8" w:tplc="1409001B" w:tentative="1">
      <w:start w:val="1"/>
      <w:numFmt w:val="lowerRoman"/>
      <w:lvlText w:val="%9."/>
      <w:lvlJc w:val="right"/>
      <w:pPr>
        <w:ind w:left="6885" w:hanging="180"/>
      </w:pPr>
    </w:lvl>
  </w:abstractNum>
  <w:abstractNum w:abstractNumId="2" w15:restartNumberingAfterBreak="0">
    <w:nsid w:val="279423F7"/>
    <w:multiLevelType w:val="hybridMultilevel"/>
    <w:tmpl w:val="E8128796"/>
    <w:lvl w:ilvl="0" w:tplc="B19AE3A4">
      <w:start w:val="1"/>
      <w:numFmt w:val="bullet"/>
      <w:pStyle w:val="BulletText2"/>
      <w:lvlText w:val=""/>
      <w:lvlJc w:val="left"/>
      <w:pPr>
        <w:tabs>
          <w:tab w:val="num" w:pos="397"/>
        </w:tabs>
        <w:ind w:left="397" w:hanging="39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51449"/>
    <w:multiLevelType w:val="hybridMultilevel"/>
    <w:tmpl w:val="4AECC030"/>
    <w:lvl w:ilvl="0" w:tplc="7B5E4290">
      <w:start w:val="1"/>
      <w:numFmt w:val="lowerLetter"/>
      <w:lvlText w:val="%1)"/>
      <w:lvlJc w:val="left"/>
      <w:pPr>
        <w:ind w:left="360" w:hanging="360"/>
      </w:pPr>
      <w:rPr>
        <w:rFonts w:hint="default"/>
        <w:b/>
        <w:bCs/>
        <w:strike w:val="0"/>
        <w:color w:val="000000" w:themeColor="text1"/>
        <w:sz w:val="24"/>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707710"/>
    <w:multiLevelType w:val="hybridMultilevel"/>
    <w:tmpl w:val="BFDE50A2"/>
    <w:lvl w:ilvl="0" w:tplc="7262A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16F4D"/>
    <w:multiLevelType w:val="hybridMultilevel"/>
    <w:tmpl w:val="28083328"/>
    <w:lvl w:ilvl="0" w:tplc="14090013">
      <w:start w:val="1"/>
      <w:numFmt w:val="upp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599D3116"/>
    <w:multiLevelType w:val="multilevel"/>
    <w:tmpl w:val="F558B684"/>
    <w:lvl w:ilvl="0">
      <w:start w:val="1"/>
      <w:numFmt w:val="bullet"/>
      <w:pStyle w:val="BulletPoints"/>
      <w:lvlText w:val=""/>
      <w:lvlJc w:val="left"/>
      <w:pPr>
        <w:tabs>
          <w:tab w:val="num" w:pos="9234"/>
        </w:tabs>
        <w:ind w:left="9234"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875"/>
        </w:tabs>
        <w:ind w:left="9875"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442"/>
        </w:tabs>
        <w:ind w:left="10442"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1009"/>
        </w:tabs>
        <w:ind w:left="11009" w:hanging="567"/>
      </w:pPr>
      <w:rPr>
        <w:rFonts w:ascii="Symbol" w:hAnsi="Symbol" w:hint="default"/>
        <w:b w:val="0"/>
        <w:i w:val="0"/>
        <w:sz w:val="16"/>
      </w:rPr>
    </w:lvl>
    <w:lvl w:ilvl="4">
      <w:start w:val="1"/>
      <w:numFmt w:val="bullet"/>
      <w:lvlText w:val="o"/>
      <w:lvlJc w:val="left"/>
      <w:pPr>
        <w:tabs>
          <w:tab w:val="num" w:pos="15714"/>
        </w:tabs>
        <w:ind w:left="15714" w:hanging="360"/>
      </w:pPr>
      <w:rPr>
        <w:rFonts w:ascii="Courier New" w:hAnsi="Courier New" w:hint="default"/>
      </w:rPr>
    </w:lvl>
    <w:lvl w:ilvl="5">
      <w:start w:val="1"/>
      <w:numFmt w:val="bullet"/>
      <w:lvlText w:val=""/>
      <w:lvlJc w:val="left"/>
      <w:pPr>
        <w:tabs>
          <w:tab w:val="num" w:pos="16434"/>
        </w:tabs>
        <w:ind w:left="16434" w:hanging="360"/>
      </w:pPr>
      <w:rPr>
        <w:rFonts w:ascii="Wingdings" w:hAnsi="Wingdings" w:hint="default"/>
      </w:rPr>
    </w:lvl>
    <w:lvl w:ilvl="6">
      <w:start w:val="1"/>
      <w:numFmt w:val="bullet"/>
      <w:lvlText w:val=""/>
      <w:lvlJc w:val="left"/>
      <w:pPr>
        <w:tabs>
          <w:tab w:val="num" w:pos="17154"/>
        </w:tabs>
        <w:ind w:left="17154" w:hanging="360"/>
      </w:pPr>
      <w:rPr>
        <w:rFonts w:ascii="Symbol" w:hAnsi="Symbol" w:hint="default"/>
      </w:rPr>
    </w:lvl>
    <w:lvl w:ilvl="7">
      <w:start w:val="1"/>
      <w:numFmt w:val="bullet"/>
      <w:lvlText w:val="o"/>
      <w:lvlJc w:val="left"/>
      <w:pPr>
        <w:tabs>
          <w:tab w:val="num" w:pos="17874"/>
        </w:tabs>
        <w:ind w:left="17874" w:hanging="360"/>
      </w:pPr>
      <w:rPr>
        <w:rFonts w:ascii="Courier New" w:hAnsi="Courier New" w:hint="default"/>
      </w:rPr>
    </w:lvl>
    <w:lvl w:ilvl="8">
      <w:start w:val="1"/>
      <w:numFmt w:val="bullet"/>
      <w:lvlText w:val=""/>
      <w:lvlJc w:val="left"/>
      <w:pPr>
        <w:tabs>
          <w:tab w:val="num" w:pos="18594"/>
        </w:tabs>
        <w:ind w:left="18594" w:hanging="360"/>
      </w:pPr>
      <w:rPr>
        <w:rFonts w:ascii="Wingdings" w:hAnsi="Wingdings" w:hint="default"/>
      </w:rPr>
    </w:lvl>
  </w:abstractNum>
  <w:abstractNum w:abstractNumId="7"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8" w15:restartNumberingAfterBreak="0">
    <w:nsid w:val="68C9236E"/>
    <w:multiLevelType w:val="hybridMultilevel"/>
    <w:tmpl w:val="B204C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7118208">
    <w:abstractNumId w:val="7"/>
  </w:num>
  <w:num w:numId="2" w16cid:durableId="978002402">
    <w:abstractNumId w:val="0"/>
  </w:num>
  <w:num w:numId="3" w16cid:durableId="39285226">
    <w:abstractNumId w:val="2"/>
  </w:num>
  <w:num w:numId="4" w16cid:durableId="616184784">
    <w:abstractNumId w:val="6"/>
  </w:num>
  <w:num w:numId="5" w16cid:durableId="857237856">
    <w:abstractNumId w:val="8"/>
  </w:num>
  <w:num w:numId="6" w16cid:durableId="592738809">
    <w:abstractNumId w:val="1"/>
  </w:num>
  <w:num w:numId="7" w16cid:durableId="1123961749">
    <w:abstractNumId w:val="5"/>
  </w:num>
  <w:num w:numId="8" w16cid:durableId="1851213896">
    <w:abstractNumId w:val="3"/>
  </w:num>
  <w:num w:numId="9" w16cid:durableId="1104439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zNDUzMTY0MjEyNzBX0lEKTi0uzszPAykwNKgFAM7zWP0tAAAA"/>
    <w:docVar w:name="dvFooter" w:val="2641964v1"/>
    <w:docVar w:name="paperpile-doc-id" w:val="L638Z985O376S199"/>
    <w:docVar w:name="paperpile-doc-name" w:val="Policy Brief Template_.docx"/>
  </w:docVars>
  <w:rsids>
    <w:rsidRoot w:val="00DD496C"/>
    <w:rsid w:val="00000712"/>
    <w:rsid w:val="00000BAC"/>
    <w:rsid w:val="00001C86"/>
    <w:rsid w:val="00001DBE"/>
    <w:rsid w:val="00002519"/>
    <w:rsid w:val="0000347E"/>
    <w:rsid w:val="00004E84"/>
    <w:rsid w:val="000056F4"/>
    <w:rsid w:val="00005EBF"/>
    <w:rsid w:val="0000609E"/>
    <w:rsid w:val="00006487"/>
    <w:rsid w:val="000068D8"/>
    <w:rsid w:val="00006D80"/>
    <w:rsid w:val="00006DD3"/>
    <w:rsid w:val="00006F04"/>
    <w:rsid w:val="000108CF"/>
    <w:rsid w:val="00012709"/>
    <w:rsid w:val="0001315F"/>
    <w:rsid w:val="0001367D"/>
    <w:rsid w:val="00013E58"/>
    <w:rsid w:val="00014317"/>
    <w:rsid w:val="000154C1"/>
    <w:rsid w:val="0001606C"/>
    <w:rsid w:val="00017597"/>
    <w:rsid w:val="00020BC0"/>
    <w:rsid w:val="00020FEF"/>
    <w:rsid w:val="00021A51"/>
    <w:rsid w:val="00022009"/>
    <w:rsid w:val="000220D6"/>
    <w:rsid w:val="000222DB"/>
    <w:rsid w:val="000223B5"/>
    <w:rsid w:val="0002259C"/>
    <w:rsid w:val="000240DB"/>
    <w:rsid w:val="000247AD"/>
    <w:rsid w:val="00025C84"/>
    <w:rsid w:val="000278E5"/>
    <w:rsid w:val="00027AE6"/>
    <w:rsid w:val="00027B3E"/>
    <w:rsid w:val="00030BC4"/>
    <w:rsid w:val="00031454"/>
    <w:rsid w:val="00031914"/>
    <w:rsid w:val="00032A04"/>
    <w:rsid w:val="00032E03"/>
    <w:rsid w:val="00033090"/>
    <w:rsid w:val="00033196"/>
    <w:rsid w:val="00033C7B"/>
    <w:rsid w:val="00034459"/>
    <w:rsid w:val="00035BF6"/>
    <w:rsid w:val="00035FF6"/>
    <w:rsid w:val="00036305"/>
    <w:rsid w:val="00040100"/>
    <w:rsid w:val="00040203"/>
    <w:rsid w:val="000414CE"/>
    <w:rsid w:val="00041E16"/>
    <w:rsid w:val="00042637"/>
    <w:rsid w:val="0004325F"/>
    <w:rsid w:val="00043422"/>
    <w:rsid w:val="00043E86"/>
    <w:rsid w:val="00043FFD"/>
    <w:rsid w:val="00044910"/>
    <w:rsid w:val="00045331"/>
    <w:rsid w:val="0004548C"/>
    <w:rsid w:val="0004552A"/>
    <w:rsid w:val="000458F3"/>
    <w:rsid w:val="00045FA4"/>
    <w:rsid w:val="0004632C"/>
    <w:rsid w:val="000471EB"/>
    <w:rsid w:val="000473F6"/>
    <w:rsid w:val="00047454"/>
    <w:rsid w:val="00047B58"/>
    <w:rsid w:val="00047C5E"/>
    <w:rsid w:val="00047CA5"/>
    <w:rsid w:val="000513CD"/>
    <w:rsid w:val="00051AB9"/>
    <w:rsid w:val="00052360"/>
    <w:rsid w:val="000539C4"/>
    <w:rsid w:val="00055A7F"/>
    <w:rsid w:val="00055EF1"/>
    <w:rsid w:val="0005755C"/>
    <w:rsid w:val="00057DE3"/>
    <w:rsid w:val="00060614"/>
    <w:rsid w:val="00061A37"/>
    <w:rsid w:val="00061B22"/>
    <w:rsid w:val="00062917"/>
    <w:rsid w:val="00062926"/>
    <w:rsid w:val="00063167"/>
    <w:rsid w:val="0006360B"/>
    <w:rsid w:val="0006480F"/>
    <w:rsid w:val="000653EE"/>
    <w:rsid w:val="000656E4"/>
    <w:rsid w:val="00066984"/>
    <w:rsid w:val="00066B45"/>
    <w:rsid w:val="00070BCA"/>
    <w:rsid w:val="00070DD4"/>
    <w:rsid w:val="000748FF"/>
    <w:rsid w:val="00075322"/>
    <w:rsid w:val="00076C32"/>
    <w:rsid w:val="00077456"/>
    <w:rsid w:val="00077839"/>
    <w:rsid w:val="00077C78"/>
    <w:rsid w:val="00080CA2"/>
    <w:rsid w:val="000814ED"/>
    <w:rsid w:val="00081D3F"/>
    <w:rsid w:val="000825E8"/>
    <w:rsid w:val="00083575"/>
    <w:rsid w:val="000838D9"/>
    <w:rsid w:val="00084667"/>
    <w:rsid w:val="0008466C"/>
    <w:rsid w:val="00084FF8"/>
    <w:rsid w:val="000858BC"/>
    <w:rsid w:val="00085A3B"/>
    <w:rsid w:val="00086E6A"/>
    <w:rsid w:val="000875EB"/>
    <w:rsid w:val="00087B9D"/>
    <w:rsid w:val="00090811"/>
    <w:rsid w:val="00092430"/>
    <w:rsid w:val="00092B6C"/>
    <w:rsid w:val="00092CC5"/>
    <w:rsid w:val="00093229"/>
    <w:rsid w:val="00093AAC"/>
    <w:rsid w:val="00093F56"/>
    <w:rsid w:val="000945EF"/>
    <w:rsid w:val="0009489C"/>
    <w:rsid w:val="00096C50"/>
    <w:rsid w:val="00097175"/>
    <w:rsid w:val="0009718A"/>
    <w:rsid w:val="000A0078"/>
    <w:rsid w:val="000A0C5D"/>
    <w:rsid w:val="000A18E2"/>
    <w:rsid w:val="000A1DAB"/>
    <w:rsid w:val="000A1E06"/>
    <w:rsid w:val="000A2DA3"/>
    <w:rsid w:val="000A361D"/>
    <w:rsid w:val="000A3F21"/>
    <w:rsid w:val="000A47A7"/>
    <w:rsid w:val="000A7F1A"/>
    <w:rsid w:val="000B1186"/>
    <w:rsid w:val="000B170E"/>
    <w:rsid w:val="000B1A82"/>
    <w:rsid w:val="000B2172"/>
    <w:rsid w:val="000B2458"/>
    <w:rsid w:val="000B2AE3"/>
    <w:rsid w:val="000B2FF0"/>
    <w:rsid w:val="000B30CB"/>
    <w:rsid w:val="000B332A"/>
    <w:rsid w:val="000B4EF3"/>
    <w:rsid w:val="000B54DD"/>
    <w:rsid w:val="000B5913"/>
    <w:rsid w:val="000B592E"/>
    <w:rsid w:val="000B61F8"/>
    <w:rsid w:val="000B720F"/>
    <w:rsid w:val="000B7540"/>
    <w:rsid w:val="000B79D3"/>
    <w:rsid w:val="000C178A"/>
    <w:rsid w:val="000C1963"/>
    <w:rsid w:val="000C1C9F"/>
    <w:rsid w:val="000C26DE"/>
    <w:rsid w:val="000C286F"/>
    <w:rsid w:val="000C3D3E"/>
    <w:rsid w:val="000C40D4"/>
    <w:rsid w:val="000C461A"/>
    <w:rsid w:val="000C494B"/>
    <w:rsid w:val="000C4D52"/>
    <w:rsid w:val="000C50A6"/>
    <w:rsid w:val="000C50BF"/>
    <w:rsid w:val="000C54EC"/>
    <w:rsid w:val="000C5C36"/>
    <w:rsid w:val="000C6855"/>
    <w:rsid w:val="000C7328"/>
    <w:rsid w:val="000D025C"/>
    <w:rsid w:val="000D0A4D"/>
    <w:rsid w:val="000D2AB8"/>
    <w:rsid w:val="000D35C7"/>
    <w:rsid w:val="000D3A36"/>
    <w:rsid w:val="000D509A"/>
    <w:rsid w:val="000D6682"/>
    <w:rsid w:val="000D68F0"/>
    <w:rsid w:val="000E08EF"/>
    <w:rsid w:val="000E13A8"/>
    <w:rsid w:val="000E14A2"/>
    <w:rsid w:val="000E1B17"/>
    <w:rsid w:val="000E25E2"/>
    <w:rsid w:val="000E2725"/>
    <w:rsid w:val="000E28C9"/>
    <w:rsid w:val="000E2C3E"/>
    <w:rsid w:val="000E2FA0"/>
    <w:rsid w:val="000E3E1A"/>
    <w:rsid w:val="000E3FCA"/>
    <w:rsid w:val="000E401F"/>
    <w:rsid w:val="000E4059"/>
    <w:rsid w:val="000E416D"/>
    <w:rsid w:val="000E4235"/>
    <w:rsid w:val="000E4DDB"/>
    <w:rsid w:val="000E54DB"/>
    <w:rsid w:val="000E7B37"/>
    <w:rsid w:val="000E7B87"/>
    <w:rsid w:val="000F0A30"/>
    <w:rsid w:val="000F17D0"/>
    <w:rsid w:val="000F1A25"/>
    <w:rsid w:val="000F1F94"/>
    <w:rsid w:val="000F210E"/>
    <w:rsid w:val="000F33C5"/>
    <w:rsid w:val="000F3B89"/>
    <w:rsid w:val="000F70A5"/>
    <w:rsid w:val="000F7DD6"/>
    <w:rsid w:val="001003DF"/>
    <w:rsid w:val="00101076"/>
    <w:rsid w:val="001015D6"/>
    <w:rsid w:val="001017AC"/>
    <w:rsid w:val="00101DCC"/>
    <w:rsid w:val="0010211E"/>
    <w:rsid w:val="001027D0"/>
    <w:rsid w:val="0010297B"/>
    <w:rsid w:val="00102E2E"/>
    <w:rsid w:val="00104853"/>
    <w:rsid w:val="00104E00"/>
    <w:rsid w:val="00105E22"/>
    <w:rsid w:val="0010619C"/>
    <w:rsid w:val="00107AE5"/>
    <w:rsid w:val="00107D2D"/>
    <w:rsid w:val="00110301"/>
    <w:rsid w:val="001108BC"/>
    <w:rsid w:val="00110D47"/>
    <w:rsid w:val="00111586"/>
    <w:rsid w:val="0011183C"/>
    <w:rsid w:val="00111D16"/>
    <w:rsid w:val="00112076"/>
    <w:rsid w:val="00112501"/>
    <w:rsid w:val="00113946"/>
    <w:rsid w:val="001139EA"/>
    <w:rsid w:val="001147B7"/>
    <w:rsid w:val="0011543D"/>
    <w:rsid w:val="00115D9A"/>
    <w:rsid w:val="00116142"/>
    <w:rsid w:val="001161FF"/>
    <w:rsid w:val="001170AA"/>
    <w:rsid w:val="00117252"/>
    <w:rsid w:val="00117463"/>
    <w:rsid w:val="001174C9"/>
    <w:rsid w:val="001177BA"/>
    <w:rsid w:val="00117A0D"/>
    <w:rsid w:val="00120DD6"/>
    <w:rsid w:val="001211BF"/>
    <w:rsid w:val="00121880"/>
    <w:rsid w:val="00121963"/>
    <w:rsid w:val="00121B45"/>
    <w:rsid w:val="0012337C"/>
    <w:rsid w:val="00123EE4"/>
    <w:rsid w:val="00124900"/>
    <w:rsid w:val="00126E56"/>
    <w:rsid w:val="00126E8C"/>
    <w:rsid w:val="0012784D"/>
    <w:rsid w:val="00127EF5"/>
    <w:rsid w:val="00130025"/>
    <w:rsid w:val="00131154"/>
    <w:rsid w:val="00131BA0"/>
    <w:rsid w:val="00131DBC"/>
    <w:rsid w:val="001345F0"/>
    <w:rsid w:val="00134690"/>
    <w:rsid w:val="00135366"/>
    <w:rsid w:val="001357C5"/>
    <w:rsid w:val="00135B32"/>
    <w:rsid w:val="00136441"/>
    <w:rsid w:val="00137CC0"/>
    <w:rsid w:val="001412A0"/>
    <w:rsid w:val="00141BF6"/>
    <w:rsid w:val="00142C89"/>
    <w:rsid w:val="00146E42"/>
    <w:rsid w:val="001470DC"/>
    <w:rsid w:val="00150ACB"/>
    <w:rsid w:val="0015128E"/>
    <w:rsid w:val="00151CE9"/>
    <w:rsid w:val="00153527"/>
    <w:rsid w:val="00154228"/>
    <w:rsid w:val="0015650C"/>
    <w:rsid w:val="00156B53"/>
    <w:rsid w:val="00157FB2"/>
    <w:rsid w:val="00160FDD"/>
    <w:rsid w:val="00161828"/>
    <w:rsid w:val="001629A3"/>
    <w:rsid w:val="0016343D"/>
    <w:rsid w:val="00163EDA"/>
    <w:rsid w:val="0016401A"/>
    <w:rsid w:val="00164C12"/>
    <w:rsid w:val="00165486"/>
    <w:rsid w:val="001662F1"/>
    <w:rsid w:val="00166D79"/>
    <w:rsid w:val="00167DDC"/>
    <w:rsid w:val="0017007C"/>
    <w:rsid w:val="00171283"/>
    <w:rsid w:val="00171A40"/>
    <w:rsid w:val="00172D22"/>
    <w:rsid w:val="00172D8D"/>
    <w:rsid w:val="00172EA0"/>
    <w:rsid w:val="00173018"/>
    <w:rsid w:val="00173166"/>
    <w:rsid w:val="001745BC"/>
    <w:rsid w:val="00174962"/>
    <w:rsid w:val="00174D35"/>
    <w:rsid w:val="001760D8"/>
    <w:rsid w:val="001763F7"/>
    <w:rsid w:val="0017642B"/>
    <w:rsid w:val="001767D5"/>
    <w:rsid w:val="00177DC8"/>
    <w:rsid w:val="001806B0"/>
    <w:rsid w:val="00180A01"/>
    <w:rsid w:val="00182A7B"/>
    <w:rsid w:val="00182C39"/>
    <w:rsid w:val="00183987"/>
    <w:rsid w:val="00183EAB"/>
    <w:rsid w:val="00183F0F"/>
    <w:rsid w:val="0018419E"/>
    <w:rsid w:val="00184359"/>
    <w:rsid w:val="00185253"/>
    <w:rsid w:val="00185CB7"/>
    <w:rsid w:val="00186858"/>
    <w:rsid w:val="001869A7"/>
    <w:rsid w:val="00187D44"/>
    <w:rsid w:val="00190646"/>
    <w:rsid w:val="0019090F"/>
    <w:rsid w:val="0019131D"/>
    <w:rsid w:val="001918EF"/>
    <w:rsid w:val="00192A94"/>
    <w:rsid w:val="00192FB0"/>
    <w:rsid w:val="00193907"/>
    <w:rsid w:val="00193C6A"/>
    <w:rsid w:val="00193EB5"/>
    <w:rsid w:val="00195236"/>
    <w:rsid w:val="00195763"/>
    <w:rsid w:val="00195D61"/>
    <w:rsid w:val="00197303"/>
    <w:rsid w:val="00197FA2"/>
    <w:rsid w:val="001A0123"/>
    <w:rsid w:val="001A2234"/>
    <w:rsid w:val="001A2908"/>
    <w:rsid w:val="001A3CD0"/>
    <w:rsid w:val="001A4172"/>
    <w:rsid w:val="001A41D0"/>
    <w:rsid w:val="001A4A6D"/>
    <w:rsid w:val="001A4B6E"/>
    <w:rsid w:val="001A5A60"/>
    <w:rsid w:val="001A628C"/>
    <w:rsid w:val="001A7674"/>
    <w:rsid w:val="001A7F63"/>
    <w:rsid w:val="001B0807"/>
    <w:rsid w:val="001B37DC"/>
    <w:rsid w:val="001B3C64"/>
    <w:rsid w:val="001B58C0"/>
    <w:rsid w:val="001B694B"/>
    <w:rsid w:val="001B6B25"/>
    <w:rsid w:val="001B75FD"/>
    <w:rsid w:val="001C0FB3"/>
    <w:rsid w:val="001C1C9E"/>
    <w:rsid w:val="001C3A5C"/>
    <w:rsid w:val="001C59EA"/>
    <w:rsid w:val="001C6BCC"/>
    <w:rsid w:val="001D16ED"/>
    <w:rsid w:val="001D1D79"/>
    <w:rsid w:val="001D4E0E"/>
    <w:rsid w:val="001D77BA"/>
    <w:rsid w:val="001D7A47"/>
    <w:rsid w:val="001E16E5"/>
    <w:rsid w:val="001E1C59"/>
    <w:rsid w:val="001E27F1"/>
    <w:rsid w:val="001E3402"/>
    <w:rsid w:val="001E3420"/>
    <w:rsid w:val="001E4B4F"/>
    <w:rsid w:val="001E52D2"/>
    <w:rsid w:val="001E5DF6"/>
    <w:rsid w:val="001E708A"/>
    <w:rsid w:val="001F01C0"/>
    <w:rsid w:val="001F18A6"/>
    <w:rsid w:val="001F200D"/>
    <w:rsid w:val="001F2F95"/>
    <w:rsid w:val="001F30E9"/>
    <w:rsid w:val="001F38CA"/>
    <w:rsid w:val="001F5222"/>
    <w:rsid w:val="001F56A7"/>
    <w:rsid w:val="001F5859"/>
    <w:rsid w:val="001F5FBD"/>
    <w:rsid w:val="001F6376"/>
    <w:rsid w:val="001F6FF5"/>
    <w:rsid w:val="001F7B35"/>
    <w:rsid w:val="0020050B"/>
    <w:rsid w:val="0020057D"/>
    <w:rsid w:val="002009FD"/>
    <w:rsid w:val="002017EE"/>
    <w:rsid w:val="0020198B"/>
    <w:rsid w:val="00201EF4"/>
    <w:rsid w:val="0020223C"/>
    <w:rsid w:val="0020452B"/>
    <w:rsid w:val="002056B7"/>
    <w:rsid w:val="00207546"/>
    <w:rsid w:val="00211CFA"/>
    <w:rsid w:val="00211E58"/>
    <w:rsid w:val="0021378E"/>
    <w:rsid w:val="00213EB4"/>
    <w:rsid w:val="0021417B"/>
    <w:rsid w:val="00214DFA"/>
    <w:rsid w:val="00214F65"/>
    <w:rsid w:val="0021544F"/>
    <w:rsid w:val="00215889"/>
    <w:rsid w:val="0021656A"/>
    <w:rsid w:val="00220B8B"/>
    <w:rsid w:val="00223A83"/>
    <w:rsid w:val="00227EE9"/>
    <w:rsid w:val="00230316"/>
    <w:rsid w:val="002316B2"/>
    <w:rsid w:val="002321A3"/>
    <w:rsid w:val="00235AC8"/>
    <w:rsid w:val="0023618A"/>
    <w:rsid w:val="00236C17"/>
    <w:rsid w:val="00237CB5"/>
    <w:rsid w:val="00241083"/>
    <w:rsid w:val="0024108F"/>
    <w:rsid w:val="00241881"/>
    <w:rsid w:val="00241A9A"/>
    <w:rsid w:val="002433F8"/>
    <w:rsid w:val="00244652"/>
    <w:rsid w:val="00244A5F"/>
    <w:rsid w:val="00244F17"/>
    <w:rsid w:val="002453AD"/>
    <w:rsid w:val="00245431"/>
    <w:rsid w:val="0024632D"/>
    <w:rsid w:val="0024750A"/>
    <w:rsid w:val="002505FD"/>
    <w:rsid w:val="00250CA6"/>
    <w:rsid w:val="00251CBD"/>
    <w:rsid w:val="00251CD5"/>
    <w:rsid w:val="00252B1E"/>
    <w:rsid w:val="00253C7F"/>
    <w:rsid w:val="00254B62"/>
    <w:rsid w:val="002558E4"/>
    <w:rsid w:val="00255E22"/>
    <w:rsid w:val="0025640E"/>
    <w:rsid w:val="0025713E"/>
    <w:rsid w:val="002575FC"/>
    <w:rsid w:val="00257647"/>
    <w:rsid w:val="00257791"/>
    <w:rsid w:val="002577FF"/>
    <w:rsid w:val="00257E06"/>
    <w:rsid w:val="0026004A"/>
    <w:rsid w:val="00260726"/>
    <w:rsid w:val="002618FB"/>
    <w:rsid w:val="00261D6B"/>
    <w:rsid w:val="002628A7"/>
    <w:rsid w:val="00263537"/>
    <w:rsid w:val="00264529"/>
    <w:rsid w:val="00265304"/>
    <w:rsid w:val="0026599E"/>
    <w:rsid w:val="002677A6"/>
    <w:rsid w:val="00270465"/>
    <w:rsid w:val="002706B9"/>
    <w:rsid w:val="00270C21"/>
    <w:rsid w:val="00270DFD"/>
    <w:rsid w:val="00272B88"/>
    <w:rsid w:val="00273D3D"/>
    <w:rsid w:val="00273FEE"/>
    <w:rsid w:val="002751C3"/>
    <w:rsid w:val="002757B1"/>
    <w:rsid w:val="0027618E"/>
    <w:rsid w:val="00276B5A"/>
    <w:rsid w:val="0027709C"/>
    <w:rsid w:val="00277359"/>
    <w:rsid w:val="002778C4"/>
    <w:rsid w:val="002806BA"/>
    <w:rsid w:val="00282306"/>
    <w:rsid w:val="002835F2"/>
    <w:rsid w:val="00290EC6"/>
    <w:rsid w:val="00291350"/>
    <w:rsid w:val="00291D61"/>
    <w:rsid w:val="00291F82"/>
    <w:rsid w:val="0029280A"/>
    <w:rsid w:val="002948D1"/>
    <w:rsid w:val="00295E20"/>
    <w:rsid w:val="0029616C"/>
    <w:rsid w:val="00297345"/>
    <w:rsid w:val="002A0447"/>
    <w:rsid w:val="002A110B"/>
    <w:rsid w:val="002A1C57"/>
    <w:rsid w:val="002A22F5"/>
    <w:rsid w:val="002A24DB"/>
    <w:rsid w:val="002A37A9"/>
    <w:rsid w:val="002A43FA"/>
    <w:rsid w:val="002A506C"/>
    <w:rsid w:val="002A62CB"/>
    <w:rsid w:val="002B09DE"/>
    <w:rsid w:val="002B1C2D"/>
    <w:rsid w:val="002B2434"/>
    <w:rsid w:val="002B2889"/>
    <w:rsid w:val="002B2A45"/>
    <w:rsid w:val="002B3034"/>
    <w:rsid w:val="002B30C9"/>
    <w:rsid w:val="002B3DA4"/>
    <w:rsid w:val="002B4728"/>
    <w:rsid w:val="002B4BFA"/>
    <w:rsid w:val="002B52FF"/>
    <w:rsid w:val="002B71DE"/>
    <w:rsid w:val="002B7BA7"/>
    <w:rsid w:val="002C0117"/>
    <w:rsid w:val="002C0B8A"/>
    <w:rsid w:val="002C1682"/>
    <w:rsid w:val="002C6013"/>
    <w:rsid w:val="002C70F6"/>
    <w:rsid w:val="002C7FC3"/>
    <w:rsid w:val="002D19A7"/>
    <w:rsid w:val="002D1D8D"/>
    <w:rsid w:val="002D1DBA"/>
    <w:rsid w:val="002D246D"/>
    <w:rsid w:val="002D2A49"/>
    <w:rsid w:val="002D3DFD"/>
    <w:rsid w:val="002D40A8"/>
    <w:rsid w:val="002D4231"/>
    <w:rsid w:val="002D478F"/>
    <w:rsid w:val="002D668C"/>
    <w:rsid w:val="002D6704"/>
    <w:rsid w:val="002D6727"/>
    <w:rsid w:val="002D7094"/>
    <w:rsid w:val="002D7B64"/>
    <w:rsid w:val="002E0462"/>
    <w:rsid w:val="002E121F"/>
    <w:rsid w:val="002E23A0"/>
    <w:rsid w:val="002E2BEA"/>
    <w:rsid w:val="002E46D3"/>
    <w:rsid w:val="002E71DD"/>
    <w:rsid w:val="002F207E"/>
    <w:rsid w:val="002F26C0"/>
    <w:rsid w:val="002F2A00"/>
    <w:rsid w:val="002F36DE"/>
    <w:rsid w:val="002F3AA5"/>
    <w:rsid w:val="002F3B03"/>
    <w:rsid w:val="002F3ECC"/>
    <w:rsid w:val="002F618D"/>
    <w:rsid w:val="002F6EC4"/>
    <w:rsid w:val="002F7685"/>
    <w:rsid w:val="0030111D"/>
    <w:rsid w:val="0030139F"/>
    <w:rsid w:val="00301512"/>
    <w:rsid w:val="003017BD"/>
    <w:rsid w:val="00301FE5"/>
    <w:rsid w:val="003021A5"/>
    <w:rsid w:val="003027A7"/>
    <w:rsid w:val="00303008"/>
    <w:rsid w:val="00304D6D"/>
    <w:rsid w:val="00305432"/>
    <w:rsid w:val="0030655C"/>
    <w:rsid w:val="00306641"/>
    <w:rsid w:val="00306BDD"/>
    <w:rsid w:val="003079D5"/>
    <w:rsid w:val="00307E76"/>
    <w:rsid w:val="0031092F"/>
    <w:rsid w:val="00311608"/>
    <w:rsid w:val="00311D42"/>
    <w:rsid w:val="00311D6B"/>
    <w:rsid w:val="00311FB7"/>
    <w:rsid w:val="00312C5E"/>
    <w:rsid w:val="00313473"/>
    <w:rsid w:val="003139A2"/>
    <w:rsid w:val="00313E07"/>
    <w:rsid w:val="00316736"/>
    <w:rsid w:val="003171C6"/>
    <w:rsid w:val="00317FC2"/>
    <w:rsid w:val="00320220"/>
    <w:rsid w:val="00320E68"/>
    <w:rsid w:val="0032145C"/>
    <w:rsid w:val="00321573"/>
    <w:rsid w:val="003235A4"/>
    <w:rsid w:val="003237D1"/>
    <w:rsid w:val="00323999"/>
    <w:rsid w:val="00326B32"/>
    <w:rsid w:val="00327305"/>
    <w:rsid w:val="003275F9"/>
    <w:rsid w:val="003278E3"/>
    <w:rsid w:val="00330A8D"/>
    <w:rsid w:val="00330A8F"/>
    <w:rsid w:val="003310F8"/>
    <w:rsid w:val="00331337"/>
    <w:rsid w:val="003322E3"/>
    <w:rsid w:val="00332740"/>
    <w:rsid w:val="003330A3"/>
    <w:rsid w:val="00333864"/>
    <w:rsid w:val="00333971"/>
    <w:rsid w:val="00333B75"/>
    <w:rsid w:val="00334000"/>
    <w:rsid w:val="00334485"/>
    <w:rsid w:val="003344AF"/>
    <w:rsid w:val="00336DC8"/>
    <w:rsid w:val="00340EF9"/>
    <w:rsid w:val="0034154E"/>
    <w:rsid w:val="00341C9F"/>
    <w:rsid w:val="00342380"/>
    <w:rsid w:val="0034305D"/>
    <w:rsid w:val="00343144"/>
    <w:rsid w:val="0034414B"/>
    <w:rsid w:val="003468C0"/>
    <w:rsid w:val="0034690E"/>
    <w:rsid w:val="00347848"/>
    <w:rsid w:val="00350FB3"/>
    <w:rsid w:val="0035211C"/>
    <w:rsid w:val="00352DBB"/>
    <w:rsid w:val="00356817"/>
    <w:rsid w:val="00356979"/>
    <w:rsid w:val="00357162"/>
    <w:rsid w:val="0036008C"/>
    <w:rsid w:val="0036022C"/>
    <w:rsid w:val="00360EC2"/>
    <w:rsid w:val="003611A8"/>
    <w:rsid w:val="00361C3E"/>
    <w:rsid w:val="00361FD4"/>
    <w:rsid w:val="0036201F"/>
    <w:rsid w:val="00363538"/>
    <w:rsid w:val="00363AF4"/>
    <w:rsid w:val="00364B44"/>
    <w:rsid w:val="0036543B"/>
    <w:rsid w:val="0036566D"/>
    <w:rsid w:val="00365C27"/>
    <w:rsid w:val="00365F03"/>
    <w:rsid w:val="0036757A"/>
    <w:rsid w:val="0036774D"/>
    <w:rsid w:val="00370301"/>
    <w:rsid w:val="0037178F"/>
    <w:rsid w:val="00371B93"/>
    <w:rsid w:val="00371EAA"/>
    <w:rsid w:val="00373169"/>
    <w:rsid w:val="0037317C"/>
    <w:rsid w:val="00373564"/>
    <w:rsid w:val="003748D8"/>
    <w:rsid w:val="00374DBF"/>
    <w:rsid w:val="003750C9"/>
    <w:rsid w:val="00375A2D"/>
    <w:rsid w:val="00376562"/>
    <w:rsid w:val="00376AF9"/>
    <w:rsid w:val="003777F9"/>
    <w:rsid w:val="00381F48"/>
    <w:rsid w:val="00382296"/>
    <w:rsid w:val="003829C2"/>
    <w:rsid w:val="00383B62"/>
    <w:rsid w:val="00383BCD"/>
    <w:rsid w:val="00383E72"/>
    <w:rsid w:val="00384A1F"/>
    <w:rsid w:val="00384D22"/>
    <w:rsid w:val="0038510F"/>
    <w:rsid w:val="00385250"/>
    <w:rsid w:val="00385BCB"/>
    <w:rsid w:val="00385E7E"/>
    <w:rsid w:val="00385F35"/>
    <w:rsid w:val="0038691D"/>
    <w:rsid w:val="00386C7D"/>
    <w:rsid w:val="00386F93"/>
    <w:rsid w:val="00387163"/>
    <w:rsid w:val="003879C6"/>
    <w:rsid w:val="00387C4A"/>
    <w:rsid w:val="0039001D"/>
    <w:rsid w:val="003902D1"/>
    <w:rsid w:val="00390607"/>
    <w:rsid w:val="00390D4F"/>
    <w:rsid w:val="00392E3C"/>
    <w:rsid w:val="00393A52"/>
    <w:rsid w:val="0039436B"/>
    <w:rsid w:val="0039526F"/>
    <w:rsid w:val="00395379"/>
    <w:rsid w:val="0039567A"/>
    <w:rsid w:val="003959EB"/>
    <w:rsid w:val="003973BB"/>
    <w:rsid w:val="003A1179"/>
    <w:rsid w:val="003A4649"/>
    <w:rsid w:val="003A4B28"/>
    <w:rsid w:val="003A4B4A"/>
    <w:rsid w:val="003A53C4"/>
    <w:rsid w:val="003A5A54"/>
    <w:rsid w:val="003A6D99"/>
    <w:rsid w:val="003A76E2"/>
    <w:rsid w:val="003B07A3"/>
    <w:rsid w:val="003B1E59"/>
    <w:rsid w:val="003B32E1"/>
    <w:rsid w:val="003B5DAE"/>
    <w:rsid w:val="003B64BE"/>
    <w:rsid w:val="003B6766"/>
    <w:rsid w:val="003B7781"/>
    <w:rsid w:val="003C18E6"/>
    <w:rsid w:val="003C30B0"/>
    <w:rsid w:val="003C32EF"/>
    <w:rsid w:val="003C3BB5"/>
    <w:rsid w:val="003C3FD0"/>
    <w:rsid w:val="003C41FE"/>
    <w:rsid w:val="003C6C5D"/>
    <w:rsid w:val="003D0FEE"/>
    <w:rsid w:val="003D142D"/>
    <w:rsid w:val="003D2B14"/>
    <w:rsid w:val="003D3E9B"/>
    <w:rsid w:val="003D6913"/>
    <w:rsid w:val="003D72B2"/>
    <w:rsid w:val="003D7698"/>
    <w:rsid w:val="003D7754"/>
    <w:rsid w:val="003D77FA"/>
    <w:rsid w:val="003E05BD"/>
    <w:rsid w:val="003E13EE"/>
    <w:rsid w:val="003E27F9"/>
    <w:rsid w:val="003E2E6A"/>
    <w:rsid w:val="003E37F6"/>
    <w:rsid w:val="003E3C94"/>
    <w:rsid w:val="003E4A03"/>
    <w:rsid w:val="003E565D"/>
    <w:rsid w:val="003E64B8"/>
    <w:rsid w:val="003E759B"/>
    <w:rsid w:val="003E7963"/>
    <w:rsid w:val="003E7B7D"/>
    <w:rsid w:val="003F039F"/>
    <w:rsid w:val="003F1807"/>
    <w:rsid w:val="003F1810"/>
    <w:rsid w:val="003F29CD"/>
    <w:rsid w:val="003F2CDA"/>
    <w:rsid w:val="003F3A87"/>
    <w:rsid w:val="003F3CFE"/>
    <w:rsid w:val="003F40AC"/>
    <w:rsid w:val="003F4E6C"/>
    <w:rsid w:val="003F565E"/>
    <w:rsid w:val="003F5F1C"/>
    <w:rsid w:val="003F6B6E"/>
    <w:rsid w:val="003F6C29"/>
    <w:rsid w:val="003F6D55"/>
    <w:rsid w:val="003F77A5"/>
    <w:rsid w:val="0040154D"/>
    <w:rsid w:val="00401872"/>
    <w:rsid w:val="0040187E"/>
    <w:rsid w:val="004028C9"/>
    <w:rsid w:val="004029FA"/>
    <w:rsid w:val="00404BFB"/>
    <w:rsid w:val="00404C5E"/>
    <w:rsid w:val="00404CA9"/>
    <w:rsid w:val="00405A22"/>
    <w:rsid w:val="00406A34"/>
    <w:rsid w:val="00410DE5"/>
    <w:rsid w:val="004119C3"/>
    <w:rsid w:val="00411BF2"/>
    <w:rsid w:val="004121D9"/>
    <w:rsid w:val="0041356A"/>
    <w:rsid w:val="00413D52"/>
    <w:rsid w:val="00414D11"/>
    <w:rsid w:val="00414D9D"/>
    <w:rsid w:val="0041611C"/>
    <w:rsid w:val="0041646B"/>
    <w:rsid w:val="0042057A"/>
    <w:rsid w:val="00420A3B"/>
    <w:rsid w:val="00421A86"/>
    <w:rsid w:val="0042211C"/>
    <w:rsid w:val="0042308B"/>
    <w:rsid w:val="00423C04"/>
    <w:rsid w:val="00424995"/>
    <w:rsid w:val="00425638"/>
    <w:rsid w:val="00425AD6"/>
    <w:rsid w:val="004270B6"/>
    <w:rsid w:val="00427BBB"/>
    <w:rsid w:val="00430E30"/>
    <w:rsid w:val="004311CF"/>
    <w:rsid w:val="004311E3"/>
    <w:rsid w:val="00432D2E"/>
    <w:rsid w:val="0043340D"/>
    <w:rsid w:val="00433D6B"/>
    <w:rsid w:val="00434ADA"/>
    <w:rsid w:val="00435B05"/>
    <w:rsid w:val="00436CB9"/>
    <w:rsid w:val="0043715A"/>
    <w:rsid w:val="00437274"/>
    <w:rsid w:val="00437AD3"/>
    <w:rsid w:val="004404B8"/>
    <w:rsid w:val="00440E65"/>
    <w:rsid w:val="004413A5"/>
    <w:rsid w:val="00441567"/>
    <w:rsid w:val="004440A4"/>
    <w:rsid w:val="00444525"/>
    <w:rsid w:val="00444F09"/>
    <w:rsid w:val="00444F76"/>
    <w:rsid w:val="00447DC3"/>
    <w:rsid w:val="0045035C"/>
    <w:rsid w:val="00450B0C"/>
    <w:rsid w:val="00450CB7"/>
    <w:rsid w:val="00451A96"/>
    <w:rsid w:val="00452552"/>
    <w:rsid w:val="00452952"/>
    <w:rsid w:val="00454574"/>
    <w:rsid w:val="0045543D"/>
    <w:rsid w:val="00455D64"/>
    <w:rsid w:val="00455DA0"/>
    <w:rsid w:val="004577CA"/>
    <w:rsid w:val="004603B9"/>
    <w:rsid w:val="00460CCB"/>
    <w:rsid w:val="00460D82"/>
    <w:rsid w:val="00460DE0"/>
    <w:rsid w:val="00461199"/>
    <w:rsid w:val="0046195F"/>
    <w:rsid w:val="004619B6"/>
    <w:rsid w:val="00461B5B"/>
    <w:rsid w:val="00461DC4"/>
    <w:rsid w:val="00461F77"/>
    <w:rsid w:val="004633A4"/>
    <w:rsid w:val="0046343D"/>
    <w:rsid w:val="0046358C"/>
    <w:rsid w:val="0046401F"/>
    <w:rsid w:val="00464182"/>
    <w:rsid w:val="00465A04"/>
    <w:rsid w:val="004677DA"/>
    <w:rsid w:val="00467F01"/>
    <w:rsid w:val="00472187"/>
    <w:rsid w:val="0047220E"/>
    <w:rsid w:val="0047283A"/>
    <w:rsid w:val="00473FD8"/>
    <w:rsid w:val="004744B6"/>
    <w:rsid w:val="0047468E"/>
    <w:rsid w:val="004750DE"/>
    <w:rsid w:val="004753B6"/>
    <w:rsid w:val="004755CB"/>
    <w:rsid w:val="004765ED"/>
    <w:rsid w:val="004806D7"/>
    <w:rsid w:val="00480A91"/>
    <w:rsid w:val="00480C46"/>
    <w:rsid w:val="00481979"/>
    <w:rsid w:val="004819EB"/>
    <w:rsid w:val="00483D00"/>
    <w:rsid w:val="00484853"/>
    <w:rsid w:val="004871C3"/>
    <w:rsid w:val="00487E3A"/>
    <w:rsid w:val="004908AE"/>
    <w:rsid w:val="00490F3D"/>
    <w:rsid w:val="004914B9"/>
    <w:rsid w:val="00491A0C"/>
    <w:rsid w:val="00491C0B"/>
    <w:rsid w:val="00491CFA"/>
    <w:rsid w:val="0049273E"/>
    <w:rsid w:val="00494BFB"/>
    <w:rsid w:val="004953FA"/>
    <w:rsid w:val="00495D1A"/>
    <w:rsid w:val="0049664E"/>
    <w:rsid w:val="00496F05"/>
    <w:rsid w:val="00497022"/>
    <w:rsid w:val="00497F44"/>
    <w:rsid w:val="004A0964"/>
    <w:rsid w:val="004A1BE4"/>
    <w:rsid w:val="004A2108"/>
    <w:rsid w:val="004A3DD8"/>
    <w:rsid w:val="004A4A61"/>
    <w:rsid w:val="004A4B30"/>
    <w:rsid w:val="004A67A5"/>
    <w:rsid w:val="004A6A1A"/>
    <w:rsid w:val="004A6D70"/>
    <w:rsid w:val="004A6D96"/>
    <w:rsid w:val="004A77B8"/>
    <w:rsid w:val="004B1BA8"/>
    <w:rsid w:val="004B1C34"/>
    <w:rsid w:val="004B3B5C"/>
    <w:rsid w:val="004B42E7"/>
    <w:rsid w:val="004B5892"/>
    <w:rsid w:val="004B5B13"/>
    <w:rsid w:val="004B7D9E"/>
    <w:rsid w:val="004C068D"/>
    <w:rsid w:val="004C26C8"/>
    <w:rsid w:val="004C37B9"/>
    <w:rsid w:val="004C3EA1"/>
    <w:rsid w:val="004C43AE"/>
    <w:rsid w:val="004C6E54"/>
    <w:rsid w:val="004C763C"/>
    <w:rsid w:val="004D06F0"/>
    <w:rsid w:val="004D0DD7"/>
    <w:rsid w:val="004D15DC"/>
    <w:rsid w:val="004D198C"/>
    <w:rsid w:val="004D2759"/>
    <w:rsid w:val="004D35C0"/>
    <w:rsid w:val="004D4D28"/>
    <w:rsid w:val="004D570C"/>
    <w:rsid w:val="004D5F3B"/>
    <w:rsid w:val="004D6410"/>
    <w:rsid w:val="004E0D7C"/>
    <w:rsid w:val="004E1160"/>
    <w:rsid w:val="004E2264"/>
    <w:rsid w:val="004E2ED9"/>
    <w:rsid w:val="004E3BBA"/>
    <w:rsid w:val="004E4DE4"/>
    <w:rsid w:val="004E580A"/>
    <w:rsid w:val="004E6006"/>
    <w:rsid w:val="004E71C7"/>
    <w:rsid w:val="004F0674"/>
    <w:rsid w:val="004F09AB"/>
    <w:rsid w:val="004F17C7"/>
    <w:rsid w:val="004F2615"/>
    <w:rsid w:val="004F271C"/>
    <w:rsid w:val="004F283E"/>
    <w:rsid w:val="004F4B3E"/>
    <w:rsid w:val="004F5B72"/>
    <w:rsid w:val="004F6907"/>
    <w:rsid w:val="004F6FDF"/>
    <w:rsid w:val="004F77C4"/>
    <w:rsid w:val="004F7DF5"/>
    <w:rsid w:val="00500211"/>
    <w:rsid w:val="005002CA"/>
    <w:rsid w:val="005015D5"/>
    <w:rsid w:val="00501F0D"/>
    <w:rsid w:val="005023BA"/>
    <w:rsid w:val="005040FA"/>
    <w:rsid w:val="00504226"/>
    <w:rsid w:val="00504F5C"/>
    <w:rsid w:val="005055E7"/>
    <w:rsid w:val="00506AEB"/>
    <w:rsid w:val="00507612"/>
    <w:rsid w:val="0051069D"/>
    <w:rsid w:val="0051153F"/>
    <w:rsid w:val="00511983"/>
    <w:rsid w:val="00511A84"/>
    <w:rsid w:val="00511A89"/>
    <w:rsid w:val="00513B90"/>
    <w:rsid w:val="00514AB4"/>
    <w:rsid w:val="00514C81"/>
    <w:rsid w:val="00515C94"/>
    <w:rsid w:val="00517289"/>
    <w:rsid w:val="0051733D"/>
    <w:rsid w:val="00517577"/>
    <w:rsid w:val="00520B95"/>
    <w:rsid w:val="00520F32"/>
    <w:rsid w:val="005214FF"/>
    <w:rsid w:val="00522008"/>
    <w:rsid w:val="0052221E"/>
    <w:rsid w:val="00522356"/>
    <w:rsid w:val="005237E9"/>
    <w:rsid w:val="00525026"/>
    <w:rsid w:val="00525FB5"/>
    <w:rsid w:val="005266D1"/>
    <w:rsid w:val="00530966"/>
    <w:rsid w:val="0053103F"/>
    <w:rsid w:val="005321C9"/>
    <w:rsid w:val="00532838"/>
    <w:rsid w:val="00532BF8"/>
    <w:rsid w:val="005334CC"/>
    <w:rsid w:val="00533A93"/>
    <w:rsid w:val="005349FF"/>
    <w:rsid w:val="00534B02"/>
    <w:rsid w:val="00534B6F"/>
    <w:rsid w:val="005350A9"/>
    <w:rsid w:val="005351E0"/>
    <w:rsid w:val="005358DA"/>
    <w:rsid w:val="00535A37"/>
    <w:rsid w:val="005402B0"/>
    <w:rsid w:val="0054063B"/>
    <w:rsid w:val="005406D9"/>
    <w:rsid w:val="005408CA"/>
    <w:rsid w:val="00540DCC"/>
    <w:rsid w:val="00540E2B"/>
    <w:rsid w:val="005416DB"/>
    <w:rsid w:val="005417DC"/>
    <w:rsid w:val="0054187D"/>
    <w:rsid w:val="00541BBD"/>
    <w:rsid w:val="00541F00"/>
    <w:rsid w:val="0054302F"/>
    <w:rsid w:val="00544B86"/>
    <w:rsid w:val="00547F48"/>
    <w:rsid w:val="0055160A"/>
    <w:rsid w:val="00551884"/>
    <w:rsid w:val="0055210B"/>
    <w:rsid w:val="00552C59"/>
    <w:rsid w:val="00552C6B"/>
    <w:rsid w:val="00554E39"/>
    <w:rsid w:val="005551B8"/>
    <w:rsid w:val="005569D0"/>
    <w:rsid w:val="00556EB2"/>
    <w:rsid w:val="005577F6"/>
    <w:rsid w:val="005579E5"/>
    <w:rsid w:val="00560053"/>
    <w:rsid w:val="0056051D"/>
    <w:rsid w:val="00560B85"/>
    <w:rsid w:val="00561159"/>
    <w:rsid w:val="005620F5"/>
    <w:rsid w:val="005623E3"/>
    <w:rsid w:val="005623F5"/>
    <w:rsid w:val="00562F80"/>
    <w:rsid w:val="005630F6"/>
    <w:rsid w:val="00563101"/>
    <w:rsid w:val="00563576"/>
    <w:rsid w:val="00563AFD"/>
    <w:rsid w:val="0056413F"/>
    <w:rsid w:val="00564816"/>
    <w:rsid w:val="00564B82"/>
    <w:rsid w:val="00564F94"/>
    <w:rsid w:val="005666FF"/>
    <w:rsid w:val="00567B57"/>
    <w:rsid w:val="0057053D"/>
    <w:rsid w:val="005712D9"/>
    <w:rsid w:val="0057214D"/>
    <w:rsid w:val="00572CF2"/>
    <w:rsid w:val="005733D8"/>
    <w:rsid w:val="0057456D"/>
    <w:rsid w:val="005748B9"/>
    <w:rsid w:val="00574905"/>
    <w:rsid w:val="0057560A"/>
    <w:rsid w:val="00575AFE"/>
    <w:rsid w:val="0057665A"/>
    <w:rsid w:val="00577C45"/>
    <w:rsid w:val="00581AD2"/>
    <w:rsid w:val="0058245A"/>
    <w:rsid w:val="00585483"/>
    <w:rsid w:val="005861FD"/>
    <w:rsid w:val="005864EE"/>
    <w:rsid w:val="005866B7"/>
    <w:rsid w:val="00587087"/>
    <w:rsid w:val="00587583"/>
    <w:rsid w:val="00587A14"/>
    <w:rsid w:val="00590594"/>
    <w:rsid w:val="00594E0D"/>
    <w:rsid w:val="005964D5"/>
    <w:rsid w:val="005968D8"/>
    <w:rsid w:val="0059763A"/>
    <w:rsid w:val="005978D5"/>
    <w:rsid w:val="005A0580"/>
    <w:rsid w:val="005A0A2A"/>
    <w:rsid w:val="005A1016"/>
    <w:rsid w:val="005A105C"/>
    <w:rsid w:val="005A149B"/>
    <w:rsid w:val="005A2051"/>
    <w:rsid w:val="005A2685"/>
    <w:rsid w:val="005A2A65"/>
    <w:rsid w:val="005A2C1A"/>
    <w:rsid w:val="005A3839"/>
    <w:rsid w:val="005A3C8B"/>
    <w:rsid w:val="005A3D4B"/>
    <w:rsid w:val="005A4063"/>
    <w:rsid w:val="005A4512"/>
    <w:rsid w:val="005A48EE"/>
    <w:rsid w:val="005A62C0"/>
    <w:rsid w:val="005A7388"/>
    <w:rsid w:val="005B12BB"/>
    <w:rsid w:val="005B2285"/>
    <w:rsid w:val="005B2A20"/>
    <w:rsid w:val="005B2BCB"/>
    <w:rsid w:val="005B3615"/>
    <w:rsid w:val="005B4722"/>
    <w:rsid w:val="005B488F"/>
    <w:rsid w:val="005B664F"/>
    <w:rsid w:val="005B722E"/>
    <w:rsid w:val="005B7380"/>
    <w:rsid w:val="005C0562"/>
    <w:rsid w:val="005C1AF4"/>
    <w:rsid w:val="005C205D"/>
    <w:rsid w:val="005C2191"/>
    <w:rsid w:val="005C3B75"/>
    <w:rsid w:val="005C4AD5"/>
    <w:rsid w:val="005C5998"/>
    <w:rsid w:val="005C6BEC"/>
    <w:rsid w:val="005C74C6"/>
    <w:rsid w:val="005D0CD2"/>
    <w:rsid w:val="005D163A"/>
    <w:rsid w:val="005D18DF"/>
    <w:rsid w:val="005D1A49"/>
    <w:rsid w:val="005D1A9E"/>
    <w:rsid w:val="005D1B8C"/>
    <w:rsid w:val="005D1F93"/>
    <w:rsid w:val="005D2501"/>
    <w:rsid w:val="005D2990"/>
    <w:rsid w:val="005D3218"/>
    <w:rsid w:val="005D32F4"/>
    <w:rsid w:val="005D37FC"/>
    <w:rsid w:val="005D42F3"/>
    <w:rsid w:val="005D4958"/>
    <w:rsid w:val="005D5256"/>
    <w:rsid w:val="005D6EA4"/>
    <w:rsid w:val="005D7C32"/>
    <w:rsid w:val="005E0A4B"/>
    <w:rsid w:val="005E1222"/>
    <w:rsid w:val="005E1EE7"/>
    <w:rsid w:val="005E20C0"/>
    <w:rsid w:val="005E2414"/>
    <w:rsid w:val="005E2BD6"/>
    <w:rsid w:val="005E2BF2"/>
    <w:rsid w:val="005E2DF6"/>
    <w:rsid w:val="005E2EB5"/>
    <w:rsid w:val="005E3B3D"/>
    <w:rsid w:val="005E508A"/>
    <w:rsid w:val="005E56E3"/>
    <w:rsid w:val="005E6629"/>
    <w:rsid w:val="005E726F"/>
    <w:rsid w:val="005E7A6E"/>
    <w:rsid w:val="005E7D06"/>
    <w:rsid w:val="005F08E4"/>
    <w:rsid w:val="005F1266"/>
    <w:rsid w:val="005F1504"/>
    <w:rsid w:val="005F1A26"/>
    <w:rsid w:val="005F1CCB"/>
    <w:rsid w:val="005F29F9"/>
    <w:rsid w:val="005F2E43"/>
    <w:rsid w:val="005F30EB"/>
    <w:rsid w:val="005F3681"/>
    <w:rsid w:val="005F4A62"/>
    <w:rsid w:val="005F4E78"/>
    <w:rsid w:val="005F66B9"/>
    <w:rsid w:val="005F716C"/>
    <w:rsid w:val="005F730A"/>
    <w:rsid w:val="005F73A3"/>
    <w:rsid w:val="005F7644"/>
    <w:rsid w:val="00600095"/>
    <w:rsid w:val="006004F6"/>
    <w:rsid w:val="00600D7C"/>
    <w:rsid w:val="0060160A"/>
    <w:rsid w:val="00602478"/>
    <w:rsid w:val="00604C6B"/>
    <w:rsid w:val="00606992"/>
    <w:rsid w:val="00606E84"/>
    <w:rsid w:val="00607646"/>
    <w:rsid w:val="0061084E"/>
    <w:rsid w:val="0061089C"/>
    <w:rsid w:val="006111F5"/>
    <w:rsid w:val="00611A97"/>
    <w:rsid w:val="00611CB7"/>
    <w:rsid w:val="006120E1"/>
    <w:rsid w:val="0061367A"/>
    <w:rsid w:val="006146E4"/>
    <w:rsid w:val="00616537"/>
    <w:rsid w:val="006166B9"/>
    <w:rsid w:val="006179F7"/>
    <w:rsid w:val="00620515"/>
    <w:rsid w:val="00620BF4"/>
    <w:rsid w:val="00621129"/>
    <w:rsid w:val="00621E48"/>
    <w:rsid w:val="00621F90"/>
    <w:rsid w:val="006221F3"/>
    <w:rsid w:val="00622400"/>
    <w:rsid w:val="006226DC"/>
    <w:rsid w:val="0062274D"/>
    <w:rsid w:val="0062372B"/>
    <w:rsid w:val="00623DDC"/>
    <w:rsid w:val="00624802"/>
    <w:rsid w:val="0062529E"/>
    <w:rsid w:val="006269C9"/>
    <w:rsid w:val="00626C6A"/>
    <w:rsid w:val="00626FF4"/>
    <w:rsid w:val="0063245C"/>
    <w:rsid w:val="00632686"/>
    <w:rsid w:val="00632E7E"/>
    <w:rsid w:val="00633096"/>
    <w:rsid w:val="006344A5"/>
    <w:rsid w:val="006345C8"/>
    <w:rsid w:val="00634917"/>
    <w:rsid w:val="0063522B"/>
    <w:rsid w:val="0063553A"/>
    <w:rsid w:val="006356E9"/>
    <w:rsid w:val="006365C8"/>
    <w:rsid w:val="0064001B"/>
    <w:rsid w:val="00640769"/>
    <w:rsid w:val="00640E05"/>
    <w:rsid w:val="00641215"/>
    <w:rsid w:val="006429A4"/>
    <w:rsid w:val="00642AF4"/>
    <w:rsid w:val="00642B97"/>
    <w:rsid w:val="00644C28"/>
    <w:rsid w:val="00646FE3"/>
    <w:rsid w:val="0064727F"/>
    <w:rsid w:val="006477B6"/>
    <w:rsid w:val="00652044"/>
    <w:rsid w:val="00652C64"/>
    <w:rsid w:val="00653E89"/>
    <w:rsid w:val="0065612E"/>
    <w:rsid w:val="006606E3"/>
    <w:rsid w:val="006607AB"/>
    <w:rsid w:val="00660A90"/>
    <w:rsid w:val="00660E07"/>
    <w:rsid w:val="006619FF"/>
    <w:rsid w:val="00661D05"/>
    <w:rsid w:val="0066234A"/>
    <w:rsid w:val="00663827"/>
    <w:rsid w:val="00663961"/>
    <w:rsid w:val="00664193"/>
    <w:rsid w:val="00664477"/>
    <w:rsid w:val="00664597"/>
    <w:rsid w:val="006646EE"/>
    <w:rsid w:val="0066626E"/>
    <w:rsid w:val="00670166"/>
    <w:rsid w:val="0067040E"/>
    <w:rsid w:val="00670563"/>
    <w:rsid w:val="00671BB8"/>
    <w:rsid w:val="00671FA7"/>
    <w:rsid w:val="0067297E"/>
    <w:rsid w:val="00672E6D"/>
    <w:rsid w:val="00673658"/>
    <w:rsid w:val="00674EED"/>
    <w:rsid w:val="00676327"/>
    <w:rsid w:val="00676F29"/>
    <w:rsid w:val="0067706F"/>
    <w:rsid w:val="006778BC"/>
    <w:rsid w:val="00677C77"/>
    <w:rsid w:val="00677ED7"/>
    <w:rsid w:val="00680FF0"/>
    <w:rsid w:val="006823A7"/>
    <w:rsid w:val="00682D61"/>
    <w:rsid w:val="00683924"/>
    <w:rsid w:val="006859B9"/>
    <w:rsid w:val="00685A13"/>
    <w:rsid w:val="00686D99"/>
    <w:rsid w:val="00690EF8"/>
    <w:rsid w:val="00691DFE"/>
    <w:rsid w:val="00692833"/>
    <w:rsid w:val="006948C5"/>
    <w:rsid w:val="00694AE4"/>
    <w:rsid w:val="00694B74"/>
    <w:rsid w:val="00695E42"/>
    <w:rsid w:val="00696744"/>
    <w:rsid w:val="006975A8"/>
    <w:rsid w:val="006A03B1"/>
    <w:rsid w:val="006A0DDE"/>
    <w:rsid w:val="006A1341"/>
    <w:rsid w:val="006A1EA5"/>
    <w:rsid w:val="006A2320"/>
    <w:rsid w:val="006A29CA"/>
    <w:rsid w:val="006A33A4"/>
    <w:rsid w:val="006A34D9"/>
    <w:rsid w:val="006A3D1C"/>
    <w:rsid w:val="006A480B"/>
    <w:rsid w:val="006A48C1"/>
    <w:rsid w:val="006A5195"/>
    <w:rsid w:val="006A6C8C"/>
    <w:rsid w:val="006A6E87"/>
    <w:rsid w:val="006A7613"/>
    <w:rsid w:val="006B02E2"/>
    <w:rsid w:val="006B0313"/>
    <w:rsid w:val="006B056F"/>
    <w:rsid w:val="006B0A1F"/>
    <w:rsid w:val="006B0AB0"/>
    <w:rsid w:val="006B1B04"/>
    <w:rsid w:val="006B1CA0"/>
    <w:rsid w:val="006B1FE0"/>
    <w:rsid w:val="006B20DF"/>
    <w:rsid w:val="006B2D3C"/>
    <w:rsid w:val="006B3AEB"/>
    <w:rsid w:val="006B402B"/>
    <w:rsid w:val="006B47CD"/>
    <w:rsid w:val="006B4F28"/>
    <w:rsid w:val="006B560A"/>
    <w:rsid w:val="006B6DDC"/>
    <w:rsid w:val="006B74CE"/>
    <w:rsid w:val="006C0EBA"/>
    <w:rsid w:val="006C13E8"/>
    <w:rsid w:val="006C1EB5"/>
    <w:rsid w:val="006C208C"/>
    <w:rsid w:val="006C2169"/>
    <w:rsid w:val="006C24B0"/>
    <w:rsid w:val="006C42DD"/>
    <w:rsid w:val="006C4BB0"/>
    <w:rsid w:val="006C589E"/>
    <w:rsid w:val="006C5E3E"/>
    <w:rsid w:val="006C6267"/>
    <w:rsid w:val="006C6448"/>
    <w:rsid w:val="006C688D"/>
    <w:rsid w:val="006C7E92"/>
    <w:rsid w:val="006D2483"/>
    <w:rsid w:val="006D27AF"/>
    <w:rsid w:val="006D2CD6"/>
    <w:rsid w:val="006D384D"/>
    <w:rsid w:val="006D58F0"/>
    <w:rsid w:val="006D5DC1"/>
    <w:rsid w:val="006D60E6"/>
    <w:rsid w:val="006D6441"/>
    <w:rsid w:val="006E0694"/>
    <w:rsid w:val="006E11C2"/>
    <w:rsid w:val="006E1B27"/>
    <w:rsid w:val="006E1E1B"/>
    <w:rsid w:val="006E2240"/>
    <w:rsid w:val="006E3C9F"/>
    <w:rsid w:val="006E42CA"/>
    <w:rsid w:val="006E469F"/>
    <w:rsid w:val="006E4AD1"/>
    <w:rsid w:val="006E4B34"/>
    <w:rsid w:val="006E4D33"/>
    <w:rsid w:val="006E5531"/>
    <w:rsid w:val="006E63B2"/>
    <w:rsid w:val="006E7002"/>
    <w:rsid w:val="006E744E"/>
    <w:rsid w:val="006E7930"/>
    <w:rsid w:val="006F02CB"/>
    <w:rsid w:val="006F0904"/>
    <w:rsid w:val="006F0C31"/>
    <w:rsid w:val="006F0E7D"/>
    <w:rsid w:val="006F11A0"/>
    <w:rsid w:val="006F215F"/>
    <w:rsid w:val="006F2A25"/>
    <w:rsid w:val="006F3444"/>
    <w:rsid w:val="006F36A7"/>
    <w:rsid w:val="006F3B38"/>
    <w:rsid w:val="006F3E6A"/>
    <w:rsid w:val="006F466C"/>
    <w:rsid w:val="006F4A31"/>
    <w:rsid w:val="006F53BB"/>
    <w:rsid w:val="006F5CB9"/>
    <w:rsid w:val="006F5CC2"/>
    <w:rsid w:val="006F5DCD"/>
    <w:rsid w:val="006F601D"/>
    <w:rsid w:val="006F6529"/>
    <w:rsid w:val="006F7474"/>
    <w:rsid w:val="0070066E"/>
    <w:rsid w:val="007009D6"/>
    <w:rsid w:val="007036D2"/>
    <w:rsid w:val="007041FD"/>
    <w:rsid w:val="00704CD2"/>
    <w:rsid w:val="00710946"/>
    <w:rsid w:val="00711202"/>
    <w:rsid w:val="0071157F"/>
    <w:rsid w:val="00711933"/>
    <w:rsid w:val="00711941"/>
    <w:rsid w:val="007125F3"/>
    <w:rsid w:val="007137EA"/>
    <w:rsid w:val="00714981"/>
    <w:rsid w:val="00716907"/>
    <w:rsid w:val="00716971"/>
    <w:rsid w:val="00716BF1"/>
    <w:rsid w:val="00716C93"/>
    <w:rsid w:val="00720619"/>
    <w:rsid w:val="0072147A"/>
    <w:rsid w:val="007218C8"/>
    <w:rsid w:val="007221CA"/>
    <w:rsid w:val="00722D0C"/>
    <w:rsid w:val="00722FB9"/>
    <w:rsid w:val="00723247"/>
    <w:rsid w:val="00723744"/>
    <w:rsid w:val="00723E89"/>
    <w:rsid w:val="007255DE"/>
    <w:rsid w:val="007257A7"/>
    <w:rsid w:val="00725A39"/>
    <w:rsid w:val="00730CF0"/>
    <w:rsid w:val="00731107"/>
    <w:rsid w:val="00731C32"/>
    <w:rsid w:val="0073535A"/>
    <w:rsid w:val="007357E5"/>
    <w:rsid w:val="00735B7F"/>
    <w:rsid w:val="00735E8E"/>
    <w:rsid w:val="0073609C"/>
    <w:rsid w:val="0073631B"/>
    <w:rsid w:val="00736A90"/>
    <w:rsid w:val="00736B98"/>
    <w:rsid w:val="00736F23"/>
    <w:rsid w:val="00737991"/>
    <w:rsid w:val="00737F97"/>
    <w:rsid w:val="007409F5"/>
    <w:rsid w:val="00741233"/>
    <w:rsid w:val="007417EF"/>
    <w:rsid w:val="00742167"/>
    <w:rsid w:val="0074262B"/>
    <w:rsid w:val="00742D8D"/>
    <w:rsid w:val="007435EA"/>
    <w:rsid w:val="00744AAF"/>
    <w:rsid w:val="00744AE6"/>
    <w:rsid w:val="007451B9"/>
    <w:rsid w:val="00745517"/>
    <w:rsid w:val="00745A29"/>
    <w:rsid w:val="00745AF2"/>
    <w:rsid w:val="00745C41"/>
    <w:rsid w:val="00746699"/>
    <w:rsid w:val="00746CCE"/>
    <w:rsid w:val="00746CD1"/>
    <w:rsid w:val="00747C56"/>
    <w:rsid w:val="00751CB6"/>
    <w:rsid w:val="00751ECF"/>
    <w:rsid w:val="00753EC2"/>
    <w:rsid w:val="00754214"/>
    <w:rsid w:val="00754429"/>
    <w:rsid w:val="00754487"/>
    <w:rsid w:val="00754EF6"/>
    <w:rsid w:val="00755028"/>
    <w:rsid w:val="00756A69"/>
    <w:rsid w:val="007570EA"/>
    <w:rsid w:val="00757E32"/>
    <w:rsid w:val="00761556"/>
    <w:rsid w:val="00764286"/>
    <w:rsid w:val="007652DE"/>
    <w:rsid w:val="007660F6"/>
    <w:rsid w:val="007664AE"/>
    <w:rsid w:val="00766654"/>
    <w:rsid w:val="00766FED"/>
    <w:rsid w:val="007670EE"/>
    <w:rsid w:val="00770BDB"/>
    <w:rsid w:val="00770D19"/>
    <w:rsid w:val="00770F4E"/>
    <w:rsid w:val="00771F10"/>
    <w:rsid w:val="00772AF4"/>
    <w:rsid w:val="00773158"/>
    <w:rsid w:val="0077369B"/>
    <w:rsid w:val="00774304"/>
    <w:rsid w:val="00774CA4"/>
    <w:rsid w:val="00775ACD"/>
    <w:rsid w:val="0077674D"/>
    <w:rsid w:val="00777123"/>
    <w:rsid w:val="0078007D"/>
    <w:rsid w:val="007810D3"/>
    <w:rsid w:val="007841FF"/>
    <w:rsid w:val="00784E7A"/>
    <w:rsid w:val="00785559"/>
    <w:rsid w:val="0078564D"/>
    <w:rsid w:val="00785B3F"/>
    <w:rsid w:val="007864F2"/>
    <w:rsid w:val="00786FC0"/>
    <w:rsid w:val="00790664"/>
    <w:rsid w:val="007917D7"/>
    <w:rsid w:val="00791804"/>
    <w:rsid w:val="00792368"/>
    <w:rsid w:val="0079381C"/>
    <w:rsid w:val="007949B0"/>
    <w:rsid w:val="00794EF7"/>
    <w:rsid w:val="0079531F"/>
    <w:rsid w:val="00795B7F"/>
    <w:rsid w:val="00796831"/>
    <w:rsid w:val="00797639"/>
    <w:rsid w:val="00797C40"/>
    <w:rsid w:val="00797DB0"/>
    <w:rsid w:val="007A0137"/>
    <w:rsid w:val="007A110D"/>
    <w:rsid w:val="007A1AAE"/>
    <w:rsid w:val="007A1AD5"/>
    <w:rsid w:val="007A2A1C"/>
    <w:rsid w:val="007A304C"/>
    <w:rsid w:val="007A3D3F"/>
    <w:rsid w:val="007A3F8E"/>
    <w:rsid w:val="007A502F"/>
    <w:rsid w:val="007A5077"/>
    <w:rsid w:val="007A5A64"/>
    <w:rsid w:val="007A68EE"/>
    <w:rsid w:val="007B0104"/>
    <w:rsid w:val="007B1BC0"/>
    <w:rsid w:val="007B20FD"/>
    <w:rsid w:val="007B2675"/>
    <w:rsid w:val="007B26FE"/>
    <w:rsid w:val="007B4594"/>
    <w:rsid w:val="007B4DCF"/>
    <w:rsid w:val="007B4EA3"/>
    <w:rsid w:val="007B65FE"/>
    <w:rsid w:val="007C0001"/>
    <w:rsid w:val="007C12CF"/>
    <w:rsid w:val="007C3634"/>
    <w:rsid w:val="007C3B52"/>
    <w:rsid w:val="007C3C68"/>
    <w:rsid w:val="007C5257"/>
    <w:rsid w:val="007C686A"/>
    <w:rsid w:val="007C6F0C"/>
    <w:rsid w:val="007D053D"/>
    <w:rsid w:val="007D0C8D"/>
    <w:rsid w:val="007D1E07"/>
    <w:rsid w:val="007D21C0"/>
    <w:rsid w:val="007D27D4"/>
    <w:rsid w:val="007D584A"/>
    <w:rsid w:val="007D62A9"/>
    <w:rsid w:val="007D7A71"/>
    <w:rsid w:val="007D7EF0"/>
    <w:rsid w:val="007E09DC"/>
    <w:rsid w:val="007E16E0"/>
    <w:rsid w:val="007E1AC2"/>
    <w:rsid w:val="007E1EE2"/>
    <w:rsid w:val="007E3C55"/>
    <w:rsid w:val="007E4B44"/>
    <w:rsid w:val="007E6525"/>
    <w:rsid w:val="007E7046"/>
    <w:rsid w:val="007F2293"/>
    <w:rsid w:val="007F2C32"/>
    <w:rsid w:val="007F3BFC"/>
    <w:rsid w:val="007F448E"/>
    <w:rsid w:val="007F49F4"/>
    <w:rsid w:val="007F54AD"/>
    <w:rsid w:val="007F54B3"/>
    <w:rsid w:val="007F59CC"/>
    <w:rsid w:val="007F5ABE"/>
    <w:rsid w:val="007F681E"/>
    <w:rsid w:val="007F6BDC"/>
    <w:rsid w:val="007F7280"/>
    <w:rsid w:val="007F77C9"/>
    <w:rsid w:val="008003A5"/>
    <w:rsid w:val="00800598"/>
    <w:rsid w:val="008013F4"/>
    <w:rsid w:val="008016D2"/>
    <w:rsid w:val="008016E1"/>
    <w:rsid w:val="008016E2"/>
    <w:rsid w:val="00801826"/>
    <w:rsid w:val="0080577F"/>
    <w:rsid w:val="00806765"/>
    <w:rsid w:val="00807047"/>
    <w:rsid w:val="00807EEC"/>
    <w:rsid w:val="00811401"/>
    <w:rsid w:val="00813864"/>
    <w:rsid w:val="00814362"/>
    <w:rsid w:val="008145ED"/>
    <w:rsid w:val="0081634C"/>
    <w:rsid w:val="008168A6"/>
    <w:rsid w:val="00817348"/>
    <w:rsid w:val="008219B3"/>
    <w:rsid w:val="00826C65"/>
    <w:rsid w:val="00826F24"/>
    <w:rsid w:val="008271D6"/>
    <w:rsid w:val="00830747"/>
    <w:rsid w:val="00831C12"/>
    <w:rsid w:val="00832493"/>
    <w:rsid w:val="0083257D"/>
    <w:rsid w:val="008325C3"/>
    <w:rsid w:val="0083263F"/>
    <w:rsid w:val="00832A9F"/>
    <w:rsid w:val="00832E3A"/>
    <w:rsid w:val="008338E7"/>
    <w:rsid w:val="008365BB"/>
    <w:rsid w:val="00836964"/>
    <w:rsid w:val="00836F4B"/>
    <w:rsid w:val="00840127"/>
    <w:rsid w:val="008401F8"/>
    <w:rsid w:val="00841DE4"/>
    <w:rsid w:val="00842807"/>
    <w:rsid w:val="00844A63"/>
    <w:rsid w:val="00845058"/>
    <w:rsid w:val="008460B4"/>
    <w:rsid w:val="0084688D"/>
    <w:rsid w:val="00846A5A"/>
    <w:rsid w:val="00846B2A"/>
    <w:rsid w:val="008477BA"/>
    <w:rsid w:val="00847BFE"/>
    <w:rsid w:val="00847DDE"/>
    <w:rsid w:val="008501B6"/>
    <w:rsid w:val="00850BDB"/>
    <w:rsid w:val="00852A5F"/>
    <w:rsid w:val="008541AE"/>
    <w:rsid w:val="008548B0"/>
    <w:rsid w:val="00855786"/>
    <w:rsid w:val="00855847"/>
    <w:rsid w:val="00855ABF"/>
    <w:rsid w:val="00856346"/>
    <w:rsid w:val="00857B54"/>
    <w:rsid w:val="008612F2"/>
    <w:rsid w:val="008615C7"/>
    <w:rsid w:val="008625DE"/>
    <w:rsid w:val="00862AEC"/>
    <w:rsid w:val="00862D35"/>
    <w:rsid w:val="00863015"/>
    <w:rsid w:val="008633F7"/>
    <w:rsid w:val="0086383E"/>
    <w:rsid w:val="008640AC"/>
    <w:rsid w:val="00864FAA"/>
    <w:rsid w:val="00866665"/>
    <w:rsid w:val="00867510"/>
    <w:rsid w:val="00867C65"/>
    <w:rsid w:val="0087333C"/>
    <w:rsid w:val="008739B4"/>
    <w:rsid w:val="00874A4F"/>
    <w:rsid w:val="00875026"/>
    <w:rsid w:val="00875102"/>
    <w:rsid w:val="00875498"/>
    <w:rsid w:val="00876CE6"/>
    <w:rsid w:val="008771B9"/>
    <w:rsid w:val="00877C7E"/>
    <w:rsid w:val="00881E13"/>
    <w:rsid w:val="00882709"/>
    <w:rsid w:val="00882925"/>
    <w:rsid w:val="00885313"/>
    <w:rsid w:val="00886052"/>
    <w:rsid w:val="00887000"/>
    <w:rsid w:val="00890345"/>
    <w:rsid w:val="008907BD"/>
    <w:rsid w:val="0089090C"/>
    <w:rsid w:val="00891D37"/>
    <w:rsid w:val="00891FD1"/>
    <w:rsid w:val="0089250E"/>
    <w:rsid w:val="00892CEC"/>
    <w:rsid w:val="00893EF3"/>
    <w:rsid w:val="00893F6C"/>
    <w:rsid w:val="00894772"/>
    <w:rsid w:val="0089550D"/>
    <w:rsid w:val="00895536"/>
    <w:rsid w:val="0089628E"/>
    <w:rsid w:val="00896651"/>
    <w:rsid w:val="00896B4E"/>
    <w:rsid w:val="00896CB8"/>
    <w:rsid w:val="008A2AF3"/>
    <w:rsid w:val="008A53B7"/>
    <w:rsid w:val="008A6D20"/>
    <w:rsid w:val="008B1A83"/>
    <w:rsid w:val="008B1E1F"/>
    <w:rsid w:val="008B23AC"/>
    <w:rsid w:val="008B27A4"/>
    <w:rsid w:val="008B3B23"/>
    <w:rsid w:val="008B3F7E"/>
    <w:rsid w:val="008B4309"/>
    <w:rsid w:val="008B57EE"/>
    <w:rsid w:val="008B65FA"/>
    <w:rsid w:val="008B6821"/>
    <w:rsid w:val="008B6B7A"/>
    <w:rsid w:val="008B7B8C"/>
    <w:rsid w:val="008C191D"/>
    <w:rsid w:val="008C27FF"/>
    <w:rsid w:val="008C3146"/>
    <w:rsid w:val="008C32AA"/>
    <w:rsid w:val="008C3966"/>
    <w:rsid w:val="008C494C"/>
    <w:rsid w:val="008C49AB"/>
    <w:rsid w:val="008C4C2F"/>
    <w:rsid w:val="008C4C36"/>
    <w:rsid w:val="008C638F"/>
    <w:rsid w:val="008C69D8"/>
    <w:rsid w:val="008D0548"/>
    <w:rsid w:val="008D06F1"/>
    <w:rsid w:val="008D2751"/>
    <w:rsid w:val="008D3775"/>
    <w:rsid w:val="008D3E59"/>
    <w:rsid w:val="008D4F6B"/>
    <w:rsid w:val="008D541C"/>
    <w:rsid w:val="008D5E62"/>
    <w:rsid w:val="008D7D17"/>
    <w:rsid w:val="008E1042"/>
    <w:rsid w:val="008E1654"/>
    <w:rsid w:val="008E1C4B"/>
    <w:rsid w:val="008F18F1"/>
    <w:rsid w:val="008F2861"/>
    <w:rsid w:val="008F351D"/>
    <w:rsid w:val="008F362D"/>
    <w:rsid w:val="008F4327"/>
    <w:rsid w:val="008F4705"/>
    <w:rsid w:val="008F5ED3"/>
    <w:rsid w:val="008F7461"/>
    <w:rsid w:val="008F753D"/>
    <w:rsid w:val="008F77A2"/>
    <w:rsid w:val="008F77CE"/>
    <w:rsid w:val="00902E13"/>
    <w:rsid w:val="00902EA0"/>
    <w:rsid w:val="00903D02"/>
    <w:rsid w:val="009056A2"/>
    <w:rsid w:val="0090698E"/>
    <w:rsid w:val="00907778"/>
    <w:rsid w:val="00910FFD"/>
    <w:rsid w:val="00911592"/>
    <w:rsid w:val="00912375"/>
    <w:rsid w:val="00912447"/>
    <w:rsid w:val="00913AC3"/>
    <w:rsid w:val="00913B2B"/>
    <w:rsid w:val="0091527D"/>
    <w:rsid w:val="00915458"/>
    <w:rsid w:val="0091583D"/>
    <w:rsid w:val="00915856"/>
    <w:rsid w:val="00917EFD"/>
    <w:rsid w:val="009218C7"/>
    <w:rsid w:val="00921AAD"/>
    <w:rsid w:val="00921C97"/>
    <w:rsid w:val="00922E03"/>
    <w:rsid w:val="00926AE5"/>
    <w:rsid w:val="009272BD"/>
    <w:rsid w:val="009301E5"/>
    <w:rsid w:val="00930EAB"/>
    <w:rsid w:val="0093123E"/>
    <w:rsid w:val="00931BE6"/>
    <w:rsid w:val="00931DCA"/>
    <w:rsid w:val="0093277B"/>
    <w:rsid w:val="00935E41"/>
    <w:rsid w:val="009376D7"/>
    <w:rsid w:val="0094008B"/>
    <w:rsid w:val="009412E2"/>
    <w:rsid w:val="0094219A"/>
    <w:rsid w:val="00942EE3"/>
    <w:rsid w:val="00943751"/>
    <w:rsid w:val="009445F1"/>
    <w:rsid w:val="00944E89"/>
    <w:rsid w:val="0094536D"/>
    <w:rsid w:val="0094787C"/>
    <w:rsid w:val="00947F18"/>
    <w:rsid w:val="009513AC"/>
    <w:rsid w:val="00951722"/>
    <w:rsid w:val="009519AD"/>
    <w:rsid w:val="0095225A"/>
    <w:rsid w:val="00952D09"/>
    <w:rsid w:val="00953BE2"/>
    <w:rsid w:val="0095478B"/>
    <w:rsid w:val="00955E76"/>
    <w:rsid w:val="0095600A"/>
    <w:rsid w:val="00956068"/>
    <w:rsid w:val="00960414"/>
    <w:rsid w:val="00960458"/>
    <w:rsid w:val="00961779"/>
    <w:rsid w:val="009618AF"/>
    <w:rsid w:val="00963069"/>
    <w:rsid w:val="00964265"/>
    <w:rsid w:val="009653C4"/>
    <w:rsid w:val="0096731C"/>
    <w:rsid w:val="009678B4"/>
    <w:rsid w:val="0097274E"/>
    <w:rsid w:val="00972E08"/>
    <w:rsid w:val="00974D4D"/>
    <w:rsid w:val="009754ED"/>
    <w:rsid w:val="009775A1"/>
    <w:rsid w:val="00977926"/>
    <w:rsid w:val="00977966"/>
    <w:rsid w:val="00980E39"/>
    <w:rsid w:val="00981B75"/>
    <w:rsid w:val="00982C4D"/>
    <w:rsid w:val="0098531C"/>
    <w:rsid w:val="00985EA7"/>
    <w:rsid w:val="009876BE"/>
    <w:rsid w:val="00987E4C"/>
    <w:rsid w:val="00990163"/>
    <w:rsid w:val="00990227"/>
    <w:rsid w:val="009909A7"/>
    <w:rsid w:val="009912BB"/>
    <w:rsid w:val="00991E88"/>
    <w:rsid w:val="00992E76"/>
    <w:rsid w:val="00993A34"/>
    <w:rsid w:val="00994FB7"/>
    <w:rsid w:val="009951E6"/>
    <w:rsid w:val="00997ED7"/>
    <w:rsid w:val="009A07D5"/>
    <w:rsid w:val="009A0BF2"/>
    <w:rsid w:val="009A227B"/>
    <w:rsid w:val="009A30A4"/>
    <w:rsid w:val="009A3D4E"/>
    <w:rsid w:val="009A3E49"/>
    <w:rsid w:val="009A3F9D"/>
    <w:rsid w:val="009A4123"/>
    <w:rsid w:val="009A4C0B"/>
    <w:rsid w:val="009A6272"/>
    <w:rsid w:val="009A62E4"/>
    <w:rsid w:val="009A69CC"/>
    <w:rsid w:val="009A6CC4"/>
    <w:rsid w:val="009A7BC6"/>
    <w:rsid w:val="009A7F6B"/>
    <w:rsid w:val="009B0043"/>
    <w:rsid w:val="009B009A"/>
    <w:rsid w:val="009B098C"/>
    <w:rsid w:val="009B1CD5"/>
    <w:rsid w:val="009B1FDA"/>
    <w:rsid w:val="009B33EE"/>
    <w:rsid w:val="009B3708"/>
    <w:rsid w:val="009B62D7"/>
    <w:rsid w:val="009B6BDC"/>
    <w:rsid w:val="009B759E"/>
    <w:rsid w:val="009B769B"/>
    <w:rsid w:val="009C01A1"/>
    <w:rsid w:val="009C07ED"/>
    <w:rsid w:val="009C0D02"/>
    <w:rsid w:val="009C2C66"/>
    <w:rsid w:val="009C3122"/>
    <w:rsid w:val="009C3C2E"/>
    <w:rsid w:val="009C4C9B"/>
    <w:rsid w:val="009C6784"/>
    <w:rsid w:val="009C688D"/>
    <w:rsid w:val="009C7343"/>
    <w:rsid w:val="009C7A13"/>
    <w:rsid w:val="009D04BC"/>
    <w:rsid w:val="009D0BBF"/>
    <w:rsid w:val="009D3419"/>
    <w:rsid w:val="009D5140"/>
    <w:rsid w:val="009E0348"/>
    <w:rsid w:val="009E0407"/>
    <w:rsid w:val="009E084A"/>
    <w:rsid w:val="009E1E5B"/>
    <w:rsid w:val="009E1EC2"/>
    <w:rsid w:val="009E255E"/>
    <w:rsid w:val="009E27CA"/>
    <w:rsid w:val="009E2DC1"/>
    <w:rsid w:val="009E4D13"/>
    <w:rsid w:val="009E4E54"/>
    <w:rsid w:val="009F0018"/>
    <w:rsid w:val="009F0111"/>
    <w:rsid w:val="009F0768"/>
    <w:rsid w:val="009F10CC"/>
    <w:rsid w:val="009F1ACE"/>
    <w:rsid w:val="009F25CA"/>
    <w:rsid w:val="009F2E3A"/>
    <w:rsid w:val="009F32DC"/>
    <w:rsid w:val="009F4419"/>
    <w:rsid w:val="009F5094"/>
    <w:rsid w:val="009F5423"/>
    <w:rsid w:val="009F5DEE"/>
    <w:rsid w:val="009F61D1"/>
    <w:rsid w:val="009F69DD"/>
    <w:rsid w:val="009F7421"/>
    <w:rsid w:val="00A0052F"/>
    <w:rsid w:val="00A015BA"/>
    <w:rsid w:val="00A01C43"/>
    <w:rsid w:val="00A0478D"/>
    <w:rsid w:val="00A04FC5"/>
    <w:rsid w:val="00A0514F"/>
    <w:rsid w:val="00A052F7"/>
    <w:rsid w:val="00A06042"/>
    <w:rsid w:val="00A06043"/>
    <w:rsid w:val="00A060F1"/>
    <w:rsid w:val="00A06AE4"/>
    <w:rsid w:val="00A102BD"/>
    <w:rsid w:val="00A10D73"/>
    <w:rsid w:val="00A123B0"/>
    <w:rsid w:val="00A1242A"/>
    <w:rsid w:val="00A12679"/>
    <w:rsid w:val="00A13FA2"/>
    <w:rsid w:val="00A140E3"/>
    <w:rsid w:val="00A16319"/>
    <w:rsid w:val="00A16DF0"/>
    <w:rsid w:val="00A17894"/>
    <w:rsid w:val="00A17A4D"/>
    <w:rsid w:val="00A20990"/>
    <w:rsid w:val="00A21221"/>
    <w:rsid w:val="00A216C9"/>
    <w:rsid w:val="00A218FE"/>
    <w:rsid w:val="00A21DEC"/>
    <w:rsid w:val="00A23313"/>
    <w:rsid w:val="00A23382"/>
    <w:rsid w:val="00A25918"/>
    <w:rsid w:val="00A26401"/>
    <w:rsid w:val="00A27AE1"/>
    <w:rsid w:val="00A30859"/>
    <w:rsid w:val="00A30A8C"/>
    <w:rsid w:val="00A31A7B"/>
    <w:rsid w:val="00A3200E"/>
    <w:rsid w:val="00A3238B"/>
    <w:rsid w:val="00A32702"/>
    <w:rsid w:val="00A32BFE"/>
    <w:rsid w:val="00A33485"/>
    <w:rsid w:val="00A3348E"/>
    <w:rsid w:val="00A33536"/>
    <w:rsid w:val="00A34664"/>
    <w:rsid w:val="00A35349"/>
    <w:rsid w:val="00A36DA4"/>
    <w:rsid w:val="00A37097"/>
    <w:rsid w:val="00A3719D"/>
    <w:rsid w:val="00A375E5"/>
    <w:rsid w:val="00A37A40"/>
    <w:rsid w:val="00A40BA5"/>
    <w:rsid w:val="00A40DB3"/>
    <w:rsid w:val="00A41CB3"/>
    <w:rsid w:val="00A4202B"/>
    <w:rsid w:val="00A4417F"/>
    <w:rsid w:val="00A4453E"/>
    <w:rsid w:val="00A44B66"/>
    <w:rsid w:val="00A451FD"/>
    <w:rsid w:val="00A45CE9"/>
    <w:rsid w:val="00A466BF"/>
    <w:rsid w:val="00A469EE"/>
    <w:rsid w:val="00A477AD"/>
    <w:rsid w:val="00A50239"/>
    <w:rsid w:val="00A506A5"/>
    <w:rsid w:val="00A50BD5"/>
    <w:rsid w:val="00A51F6E"/>
    <w:rsid w:val="00A52B4A"/>
    <w:rsid w:val="00A54181"/>
    <w:rsid w:val="00A54DD3"/>
    <w:rsid w:val="00A54FAB"/>
    <w:rsid w:val="00A55A7B"/>
    <w:rsid w:val="00A567DC"/>
    <w:rsid w:val="00A5683F"/>
    <w:rsid w:val="00A57E7D"/>
    <w:rsid w:val="00A6085A"/>
    <w:rsid w:val="00A60F6A"/>
    <w:rsid w:val="00A61ADF"/>
    <w:rsid w:val="00A62056"/>
    <w:rsid w:val="00A62F93"/>
    <w:rsid w:val="00A62FB1"/>
    <w:rsid w:val="00A637CC"/>
    <w:rsid w:val="00A6412F"/>
    <w:rsid w:val="00A64A2D"/>
    <w:rsid w:val="00A64F31"/>
    <w:rsid w:val="00A65894"/>
    <w:rsid w:val="00A67A54"/>
    <w:rsid w:val="00A70D33"/>
    <w:rsid w:val="00A7163B"/>
    <w:rsid w:val="00A71EF6"/>
    <w:rsid w:val="00A71F47"/>
    <w:rsid w:val="00A72788"/>
    <w:rsid w:val="00A72C03"/>
    <w:rsid w:val="00A75120"/>
    <w:rsid w:val="00A75BA6"/>
    <w:rsid w:val="00A769F8"/>
    <w:rsid w:val="00A770F8"/>
    <w:rsid w:val="00A807E5"/>
    <w:rsid w:val="00A80D64"/>
    <w:rsid w:val="00A81BCE"/>
    <w:rsid w:val="00A832B8"/>
    <w:rsid w:val="00A83806"/>
    <w:rsid w:val="00A83829"/>
    <w:rsid w:val="00A84FC1"/>
    <w:rsid w:val="00A85E18"/>
    <w:rsid w:val="00A861C1"/>
    <w:rsid w:val="00A8675C"/>
    <w:rsid w:val="00A86862"/>
    <w:rsid w:val="00A86B01"/>
    <w:rsid w:val="00A86C78"/>
    <w:rsid w:val="00A86E3D"/>
    <w:rsid w:val="00A873E1"/>
    <w:rsid w:val="00A87EC8"/>
    <w:rsid w:val="00A91290"/>
    <w:rsid w:val="00A937C7"/>
    <w:rsid w:val="00A9418E"/>
    <w:rsid w:val="00A94349"/>
    <w:rsid w:val="00A9495F"/>
    <w:rsid w:val="00A94B3B"/>
    <w:rsid w:val="00A95491"/>
    <w:rsid w:val="00A9558A"/>
    <w:rsid w:val="00A966F9"/>
    <w:rsid w:val="00A96BBA"/>
    <w:rsid w:val="00A97A8E"/>
    <w:rsid w:val="00AA0F9D"/>
    <w:rsid w:val="00AA238F"/>
    <w:rsid w:val="00AA47A0"/>
    <w:rsid w:val="00AA5921"/>
    <w:rsid w:val="00AA5C30"/>
    <w:rsid w:val="00AA704D"/>
    <w:rsid w:val="00AA76B5"/>
    <w:rsid w:val="00AA777D"/>
    <w:rsid w:val="00AA7EC6"/>
    <w:rsid w:val="00AB07C5"/>
    <w:rsid w:val="00AB0ADE"/>
    <w:rsid w:val="00AB106C"/>
    <w:rsid w:val="00AB154A"/>
    <w:rsid w:val="00AB17C1"/>
    <w:rsid w:val="00AB2363"/>
    <w:rsid w:val="00AB32AD"/>
    <w:rsid w:val="00AB4BD9"/>
    <w:rsid w:val="00AB5DB2"/>
    <w:rsid w:val="00AB6AB4"/>
    <w:rsid w:val="00AB7387"/>
    <w:rsid w:val="00AB7786"/>
    <w:rsid w:val="00AB7E7C"/>
    <w:rsid w:val="00AC128B"/>
    <w:rsid w:val="00AC1545"/>
    <w:rsid w:val="00AC2723"/>
    <w:rsid w:val="00AC3A8F"/>
    <w:rsid w:val="00AC3B1B"/>
    <w:rsid w:val="00AC4EA9"/>
    <w:rsid w:val="00AC554A"/>
    <w:rsid w:val="00AC55C6"/>
    <w:rsid w:val="00AC590A"/>
    <w:rsid w:val="00AC5E18"/>
    <w:rsid w:val="00AC64F1"/>
    <w:rsid w:val="00AC753E"/>
    <w:rsid w:val="00AC79D2"/>
    <w:rsid w:val="00AD0740"/>
    <w:rsid w:val="00AD15D0"/>
    <w:rsid w:val="00AD1952"/>
    <w:rsid w:val="00AD1C21"/>
    <w:rsid w:val="00AD2264"/>
    <w:rsid w:val="00AD2B5E"/>
    <w:rsid w:val="00AD3387"/>
    <w:rsid w:val="00AD39BE"/>
    <w:rsid w:val="00AD54D1"/>
    <w:rsid w:val="00AD622A"/>
    <w:rsid w:val="00AD65CB"/>
    <w:rsid w:val="00AD7653"/>
    <w:rsid w:val="00AD7DF3"/>
    <w:rsid w:val="00AE0EB8"/>
    <w:rsid w:val="00AE0FF9"/>
    <w:rsid w:val="00AE14F6"/>
    <w:rsid w:val="00AE2829"/>
    <w:rsid w:val="00AE2DBE"/>
    <w:rsid w:val="00AE3ADB"/>
    <w:rsid w:val="00AE3D2A"/>
    <w:rsid w:val="00AE5AE2"/>
    <w:rsid w:val="00AE5E91"/>
    <w:rsid w:val="00AE663C"/>
    <w:rsid w:val="00AE66A4"/>
    <w:rsid w:val="00AE7F92"/>
    <w:rsid w:val="00AF0508"/>
    <w:rsid w:val="00AF0694"/>
    <w:rsid w:val="00AF15AA"/>
    <w:rsid w:val="00AF3273"/>
    <w:rsid w:val="00AF3574"/>
    <w:rsid w:val="00AF3956"/>
    <w:rsid w:val="00AF3ED1"/>
    <w:rsid w:val="00AF4406"/>
    <w:rsid w:val="00AF5E05"/>
    <w:rsid w:val="00AF60FC"/>
    <w:rsid w:val="00B01C54"/>
    <w:rsid w:val="00B01E57"/>
    <w:rsid w:val="00B0232D"/>
    <w:rsid w:val="00B040F4"/>
    <w:rsid w:val="00B041C9"/>
    <w:rsid w:val="00B05167"/>
    <w:rsid w:val="00B068AB"/>
    <w:rsid w:val="00B07645"/>
    <w:rsid w:val="00B079B1"/>
    <w:rsid w:val="00B07CE8"/>
    <w:rsid w:val="00B07DC6"/>
    <w:rsid w:val="00B10468"/>
    <w:rsid w:val="00B106D7"/>
    <w:rsid w:val="00B11BEC"/>
    <w:rsid w:val="00B11D25"/>
    <w:rsid w:val="00B11FF7"/>
    <w:rsid w:val="00B124E8"/>
    <w:rsid w:val="00B131D0"/>
    <w:rsid w:val="00B13C02"/>
    <w:rsid w:val="00B14596"/>
    <w:rsid w:val="00B1506D"/>
    <w:rsid w:val="00B15260"/>
    <w:rsid w:val="00B17594"/>
    <w:rsid w:val="00B17C8A"/>
    <w:rsid w:val="00B17DA3"/>
    <w:rsid w:val="00B17F46"/>
    <w:rsid w:val="00B2151E"/>
    <w:rsid w:val="00B2230B"/>
    <w:rsid w:val="00B2417A"/>
    <w:rsid w:val="00B25D4D"/>
    <w:rsid w:val="00B26AE7"/>
    <w:rsid w:val="00B278E0"/>
    <w:rsid w:val="00B27D7E"/>
    <w:rsid w:val="00B27EA4"/>
    <w:rsid w:val="00B3169C"/>
    <w:rsid w:val="00B3292A"/>
    <w:rsid w:val="00B32C34"/>
    <w:rsid w:val="00B33B8E"/>
    <w:rsid w:val="00B3436A"/>
    <w:rsid w:val="00B3649B"/>
    <w:rsid w:val="00B36653"/>
    <w:rsid w:val="00B3724E"/>
    <w:rsid w:val="00B37276"/>
    <w:rsid w:val="00B41A55"/>
    <w:rsid w:val="00B422C7"/>
    <w:rsid w:val="00B42AC8"/>
    <w:rsid w:val="00B438CC"/>
    <w:rsid w:val="00B443C1"/>
    <w:rsid w:val="00B44C38"/>
    <w:rsid w:val="00B45B4F"/>
    <w:rsid w:val="00B45E49"/>
    <w:rsid w:val="00B50A94"/>
    <w:rsid w:val="00B5368D"/>
    <w:rsid w:val="00B54441"/>
    <w:rsid w:val="00B54BB8"/>
    <w:rsid w:val="00B5590D"/>
    <w:rsid w:val="00B55AB1"/>
    <w:rsid w:val="00B55AD4"/>
    <w:rsid w:val="00B56AC1"/>
    <w:rsid w:val="00B5787D"/>
    <w:rsid w:val="00B60928"/>
    <w:rsid w:val="00B61950"/>
    <w:rsid w:val="00B61DC3"/>
    <w:rsid w:val="00B62FCE"/>
    <w:rsid w:val="00B63D60"/>
    <w:rsid w:val="00B63F5B"/>
    <w:rsid w:val="00B64178"/>
    <w:rsid w:val="00B641FE"/>
    <w:rsid w:val="00B641FF"/>
    <w:rsid w:val="00B647EB"/>
    <w:rsid w:val="00B64804"/>
    <w:rsid w:val="00B652B6"/>
    <w:rsid w:val="00B657E6"/>
    <w:rsid w:val="00B6637E"/>
    <w:rsid w:val="00B66428"/>
    <w:rsid w:val="00B66FEE"/>
    <w:rsid w:val="00B674D5"/>
    <w:rsid w:val="00B704AF"/>
    <w:rsid w:val="00B7317E"/>
    <w:rsid w:val="00B753B4"/>
    <w:rsid w:val="00B753C6"/>
    <w:rsid w:val="00B764AE"/>
    <w:rsid w:val="00B76E25"/>
    <w:rsid w:val="00B80003"/>
    <w:rsid w:val="00B80B23"/>
    <w:rsid w:val="00B80EEB"/>
    <w:rsid w:val="00B81325"/>
    <w:rsid w:val="00B832FB"/>
    <w:rsid w:val="00B87CBE"/>
    <w:rsid w:val="00B87CD1"/>
    <w:rsid w:val="00B90C33"/>
    <w:rsid w:val="00B91874"/>
    <w:rsid w:val="00B91A16"/>
    <w:rsid w:val="00B93466"/>
    <w:rsid w:val="00B93659"/>
    <w:rsid w:val="00B93BAD"/>
    <w:rsid w:val="00B93EE6"/>
    <w:rsid w:val="00B94F6D"/>
    <w:rsid w:val="00B95B2F"/>
    <w:rsid w:val="00B976C1"/>
    <w:rsid w:val="00BA1896"/>
    <w:rsid w:val="00BA1A99"/>
    <w:rsid w:val="00BA28C6"/>
    <w:rsid w:val="00BA2A6B"/>
    <w:rsid w:val="00BA2EBA"/>
    <w:rsid w:val="00BA456D"/>
    <w:rsid w:val="00BA4EB9"/>
    <w:rsid w:val="00BA5AA1"/>
    <w:rsid w:val="00BA64DF"/>
    <w:rsid w:val="00BA68D7"/>
    <w:rsid w:val="00BA68FB"/>
    <w:rsid w:val="00BA6C7E"/>
    <w:rsid w:val="00BB0314"/>
    <w:rsid w:val="00BB11AB"/>
    <w:rsid w:val="00BB19A6"/>
    <w:rsid w:val="00BB1FAB"/>
    <w:rsid w:val="00BB34A8"/>
    <w:rsid w:val="00BB39D1"/>
    <w:rsid w:val="00BB40BF"/>
    <w:rsid w:val="00BB4E47"/>
    <w:rsid w:val="00BB4FE7"/>
    <w:rsid w:val="00BB5155"/>
    <w:rsid w:val="00BB558C"/>
    <w:rsid w:val="00BB5D6E"/>
    <w:rsid w:val="00BB600F"/>
    <w:rsid w:val="00BB61E1"/>
    <w:rsid w:val="00BC092B"/>
    <w:rsid w:val="00BC0973"/>
    <w:rsid w:val="00BC0D42"/>
    <w:rsid w:val="00BC18E3"/>
    <w:rsid w:val="00BC2951"/>
    <w:rsid w:val="00BC48C0"/>
    <w:rsid w:val="00BC6007"/>
    <w:rsid w:val="00BD058A"/>
    <w:rsid w:val="00BD0F1B"/>
    <w:rsid w:val="00BD1C22"/>
    <w:rsid w:val="00BD2826"/>
    <w:rsid w:val="00BD39EF"/>
    <w:rsid w:val="00BD59CB"/>
    <w:rsid w:val="00BD6020"/>
    <w:rsid w:val="00BE0926"/>
    <w:rsid w:val="00BE0D6E"/>
    <w:rsid w:val="00BE1508"/>
    <w:rsid w:val="00BE1DD9"/>
    <w:rsid w:val="00BE417C"/>
    <w:rsid w:val="00BE64DD"/>
    <w:rsid w:val="00BF1840"/>
    <w:rsid w:val="00BF3B9D"/>
    <w:rsid w:val="00BF3CE4"/>
    <w:rsid w:val="00BF57F2"/>
    <w:rsid w:val="00BF5BF6"/>
    <w:rsid w:val="00BF66F8"/>
    <w:rsid w:val="00BF6839"/>
    <w:rsid w:val="00BF6ED6"/>
    <w:rsid w:val="00BF7063"/>
    <w:rsid w:val="00BF70B6"/>
    <w:rsid w:val="00BF76C9"/>
    <w:rsid w:val="00C021EA"/>
    <w:rsid w:val="00C025A6"/>
    <w:rsid w:val="00C035A9"/>
    <w:rsid w:val="00C03947"/>
    <w:rsid w:val="00C04B2C"/>
    <w:rsid w:val="00C05E38"/>
    <w:rsid w:val="00C0600D"/>
    <w:rsid w:val="00C06433"/>
    <w:rsid w:val="00C06C6A"/>
    <w:rsid w:val="00C06E3D"/>
    <w:rsid w:val="00C070D6"/>
    <w:rsid w:val="00C07AC7"/>
    <w:rsid w:val="00C10237"/>
    <w:rsid w:val="00C103AA"/>
    <w:rsid w:val="00C1095B"/>
    <w:rsid w:val="00C13592"/>
    <w:rsid w:val="00C14073"/>
    <w:rsid w:val="00C160B7"/>
    <w:rsid w:val="00C16CC9"/>
    <w:rsid w:val="00C1766F"/>
    <w:rsid w:val="00C20200"/>
    <w:rsid w:val="00C21CFB"/>
    <w:rsid w:val="00C22918"/>
    <w:rsid w:val="00C23DD6"/>
    <w:rsid w:val="00C23E2C"/>
    <w:rsid w:val="00C252FA"/>
    <w:rsid w:val="00C25782"/>
    <w:rsid w:val="00C257AC"/>
    <w:rsid w:val="00C25E33"/>
    <w:rsid w:val="00C26D0D"/>
    <w:rsid w:val="00C26FC3"/>
    <w:rsid w:val="00C30734"/>
    <w:rsid w:val="00C3326F"/>
    <w:rsid w:val="00C33775"/>
    <w:rsid w:val="00C33D2A"/>
    <w:rsid w:val="00C3419F"/>
    <w:rsid w:val="00C34EC2"/>
    <w:rsid w:val="00C36DF0"/>
    <w:rsid w:val="00C37F06"/>
    <w:rsid w:val="00C41AF4"/>
    <w:rsid w:val="00C421B9"/>
    <w:rsid w:val="00C42848"/>
    <w:rsid w:val="00C42FEA"/>
    <w:rsid w:val="00C43F39"/>
    <w:rsid w:val="00C44952"/>
    <w:rsid w:val="00C46F1D"/>
    <w:rsid w:val="00C47FF2"/>
    <w:rsid w:val="00C500E8"/>
    <w:rsid w:val="00C50321"/>
    <w:rsid w:val="00C50DB9"/>
    <w:rsid w:val="00C516FF"/>
    <w:rsid w:val="00C53931"/>
    <w:rsid w:val="00C53BD7"/>
    <w:rsid w:val="00C55333"/>
    <w:rsid w:val="00C553A2"/>
    <w:rsid w:val="00C57021"/>
    <w:rsid w:val="00C5713C"/>
    <w:rsid w:val="00C6054E"/>
    <w:rsid w:val="00C60DCC"/>
    <w:rsid w:val="00C62336"/>
    <w:rsid w:val="00C631DD"/>
    <w:rsid w:val="00C63374"/>
    <w:rsid w:val="00C6576E"/>
    <w:rsid w:val="00C6624B"/>
    <w:rsid w:val="00C66EC7"/>
    <w:rsid w:val="00C6723D"/>
    <w:rsid w:val="00C6773D"/>
    <w:rsid w:val="00C67F2A"/>
    <w:rsid w:val="00C7068B"/>
    <w:rsid w:val="00C722D3"/>
    <w:rsid w:val="00C72384"/>
    <w:rsid w:val="00C72953"/>
    <w:rsid w:val="00C72BCE"/>
    <w:rsid w:val="00C75FCB"/>
    <w:rsid w:val="00C760C0"/>
    <w:rsid w:val="00C765D0"/>
    <w:rsid w:val="00C76933"/>
    <w:rsid w:val="00C77190"/>
    <w:rsid w:val="00C82401"/>
    <w:rsid w:val="00C82569"/>
    <w:rsid w:val="00C84BBF"/>
    <w:rsid w:val="00C84D81"/>
    <w:rsid w:val="00C85513"/>
    <w:rsid w:val="00C859FE"/>
    <w:rsid w:val="00C869AA"/>
    <w:rsid w:val="00C86A4C"/>
    <w:rsid w:val="00C86F87"/>
    <w:rsid w:val="00C871D0"/>
    <w:rsid w:val="00C87281"/>
    <w:rsid w:val="00C87F58"/>
    <w:rsid w:val="00C902BE"/>
    <w:rsid w:val="00C90579"/>
    <w:rsid w:val="00C92519"/>
    <w:rsid w:val="00C9268C"/>
    <w:rsid w:val="00C92FE5"/>
    <w:rsid w:val="00C94087"/>
    <w:rsid w:val="00C945E5"/>
    <w:rsid w:val="00C95B5C"/>
    <w:rsid w:val="00C95B8B"/>
    <w:rsid w:val="00C96136"/>
    <w:rsid w:val="00C96608"/>
    <w:rsid w:val="00C9688A"/>
    <w:rsid w:val="00C96B52"/>
    <w:rsid w:val="00C96D40"/>
    <w:rsid w:val="00CA0F01"/>
    <w:rsid w:val="00CA15F0"/>
    <w:rsid w:val="00CA162C"/>
    <w:rsid w:val="00CA2877"/>
    <w:rsid w:val="00CA4627"/>
    <w:rsid w:val="00CA4635"/>
    <w:rsid w:val="00CA48DF"/>
    <w:rsid w:val="00CA65BC"/>
    <w:rsid w:val="00CA6AA5"/>
    <w:rsid w:val="00CA6FAF"/>
    <w:rsid w:val="00CA77F6"/>
    <w:rsid w:val="00CB0CDD"/>
    <w:rsid w:val="00CB2F7F"/>
    <w:rsid w:val="00CB3D0E"/>
    <w:rsid w:val="00CB445B"/>
    <w:rsid w:val="00CB4C80"/>
    <w:rsid w:val="00CB6E8A"/>
    <w:rsid w:val="00CB707E"/>
    <w:rsid w:val="00CB7201"/>
    <w:rsid w:val="00CB74C2"/>
    <w:rsid w:val="00CC1582"/>
    <w:rsid w:val="00CC1B42"/>
    <w:rsid w:val="00CC22E8"/>
    <w:rsid w:val="00CC2631"/>
    <w:rsid w:val="00CC4251"/>
    <w:rsid w:val="00CC72DB"/>
    <w:rsid w:val="00CC7A2D"/>
    <w:rsid w:val="00CD272B"/>
    <w:rsid w:val="00CD2AA8"/>
    <w:rsid w:val="00CD4118"/>
    <w:rsid w:val="00CD42D2"/>
    <w:rsid w:val="00CD4E4B"/>
    <w:rsid w:val="00CD64A0"/>
    <w:rsid w:val="00CE0A6B"/>
    <w:rsid w:val="00CE1168"/>
    <w:rsid w:val="00CE128B"/>
    <w:rsid w:val="00CE1CEC"/>
    <w:rsid w:val="00CE2E75"/>
    <w:rsid w:val="00CE3428"/>
    <w:rsid w:val="00CE398B"/>
    <w:rsid w:val="00CE51D3"/>
    <w:rsid w:val="00CE547C"/>
    <w:rsid w:val="00CE5CC9"/>
    <w:rsid w:val="00CE5F2D"/>
    <w:rsid w:val="00CE656F"/>
    <w:rsid w:val="00CE7F50"/>
    <w:rsid w:val="00CF00DC"/>
    <w:rsid w:val="00CF05B4"/>
    <w:rsid w:val="00CF3966"/>
    <w:rsid w:val="00CF43FB"/>
    <w:rsid w:val="00CF7DAA"/>
    <w:rsid w:val="00D00695"/>
    <w:rsid w:val="00D026C1"/>
    <w:rsid w:val="00D02F24"/>
    <w:rsid w:val="00D02F72"/>
    <w:rsid w:val="00D03746"/>
    <w:rsid w:val="00D04814"/>
    <w:rsid w:val="00D04C39"/>
    <w:rsid w:val="00D053F9"/>
    <w:rsid w:val="00D0554C"/>
    <w:rsid w:val="00D05F18"/>
    <w:rsid w:val="00D07213"/>
    <w:rsid w:val="00D07240"/>
    <w:rsid w:val="00D10496"/>
    <w:rsid w:val="00D10BE7"/>
    <w:rsid w:val="00D11DCF"/>
    <w:rsid w:val="00D11E9E"/>
    <w:rsid w:val="00D127AB"/>
    <w:rsid w:val="00D1385B"/>
    <w:rsid w:val="00D13E6E"/>
    <w:rsid w:val="00D14AD4"/>
    <w:rsid w:val="00D16F28"/>
    <w:rsid w:val="00D20CFE"/>
    <w:rsid w:val="00D23DD5"/>
    <w:rsid w:val="00D25AFD"/>
    <w:rsid w:val="00D2658E"/>
    <w:rsid w:val="00D267FE"/>
    <w:rsid w:val="00D3019E"/>
    <w:rsid w:val="00D30952"/>
    <w:rsid w:val="00D31DA6"/>
    <w:rsid w:val="00D325F4"/>
    <w:rsid w:val="00D32A04"/>
    <w:rsid w:val="00D32CFC"/>
    <w:rsid w:val="00D332BA"/>
    <w:rsid w:val="00D33F0C"/>
    <w:rsid w:val="00D34D84"/>
    <w:rsid w:val="00D3547C"/>
    <w:rsid w:val="00D36145"/>
    <w:rsid w:val="00D36C55"/>
    <w:rsid w:val="00D3751D"/>
    <w:rsid w:val="00D402DE"/>
    <w:rsid w:val="00D402F5"/>
    <w:rsid w:val="00D41E14"/>
    <w:rsid w:val="00D43097"/>
    <w:rsid w:val="00D4407D"/>
    <w:rsid w:val="00D469C1"/>
    <w:rsid w:val="00D47C34"/>
    <w:rsid w:val="00D5083A"/>
    <w:rsid w:val="00D52AE1"/>
    <w:rsid w:val="00D52DDE"/>
    <w:rsid w:val="00D53193"/>
    <w:rsid w:val="00D567EF"/>
    <w:rsid w:val="00D61E08"/>
    <w:rsid w:val="00D62E12"/>
    <w:rsid w:val="00D63041"/>
    <w:rsid w:val="00D6312A"/>
    <w:rsid w:val="00D63352"/>
    <w:rsid w:val="00D63EDF"/>
    <w:rsid w:val="00D646E0"/>
    <w:rsid w:val="00D646F0"/>
    <w:rsid w:val="00D64975"/>
    <w:rsid w:val="00D64EA5"/>
    <w:rsid w:val="00D64FFE"/>
    <w:rsid w:val="00D65045"/>
    <w:rsid w:val="00D65983"/>
    <w:rsid w:val="00D65F96"/>
    <w:rsid w:val="00D667C6"/>
    <w:rsid w:val="00D67F1C"/>
    <w:rsid w:val="00D71287"/>
    <w:rsid w:val="00D7242F"/>
    <w:rsid w:val="00D724F6"/>
    <w:rsid w:val="00D73EBE"/>
    <w:rsid w:val="00D743C2"/>
    <w:rsid w:val="00D7456B"/>
    <w:rsid w:val="00D7465E"/>
    <w:rsid w:val="00D7711E"/>
    <w:rsid w:val="00D77327"/>
    <w:rsid w:val="00D8015E"/>
    <w:rsid w:val="00D813C9"/>
    <w:rsid w:val="00D818ED"/>
    <w:rsid w:val="00D82E23"/>
    <w:rsid w:val="00D85044"/>
    <w:rsid w:val="00D86CBF"/>
    <w:rsid w:val="00D878A7"/>
    <w:rsid w:val="00D9007C"/>
    <w:rsid w:val="00D90129"/>
    <w:rsid w:val="00D903F0"/>
    <w:rsid w:val="00D9093F"/>
    <w:rsid w:val="00D90B19"/>
    <w:rsid w:val="00D90D62"/>
    <w:rsid w:val="00D90EA2"/>
    <w:rsid w:val="00D90FF9"/>
    <w:rsid w:val="00D911BB"/>
    <w:rsid w:val="00D92508"/>
    <w:rsid w:val="00D9394C"/>
    <w:rsid w:val="00D94607"/>
    <w:rsid w:val="00D94A0B"/>
    <w:rsid w:val="00D965B7"/>
    <w:rsid w:val="00DA18B3"/>
    <w:rsid w:val="00DA1F3B"/>
    <w:rsid w:val="00DA2703"/>
    <w:rsid w:val="00DA4B87"/>
    <w:rsid w:val="00DA54E6"/>
    <w:rsid w:val="00DA5966"/>
    <w:rsid w:val="00DA6D3D"/>
    <w:rsid w:val="00DA7814"/>
    <w:rsid w:val="00DA7BF5"/>
    <w:rsid w:val="00DB0128"/>
    <w:rsid w:val="00DB0194"/>
    <w:rsid w:val="00DB1500"/>
    <w:rsid w:val="00DB1970"/>
    <w:rsid w:val="00DB3205"/>
    <w:rsid w:val="00DB322E"/>
    <w:rsid w:val="00DB4374"/>
    <w:rsid w:val="00DB443E"/>
    <w:rsid w:val="00DB493C"/>
    <w:rsid w:val="00DB4E7E"/>
    <w:rsid w:val="00DB4FF5"/>
    <w:rsid w:val="00DB71CE"/>
    <w:rsid w:val="00DB73AC"/>
    <w:rsid w:val="00DC17BE"/>
    <w:rsid w:val="00DC1DBD"/>
    <w:rsid w:val="00DC1E39"/>
    <w:rsid w:val="00DC2B99"/>
    <w:rsid w:val="00DC30BA"/>
    <w:rsid w:val="00DC32D8"/>
    <w:rsid w:val="00DC3E92"/>
    <w:rsid w:val="00DC3EBF"/>
    <w:rsid w:val="00DC5850"/>
    <w:rsid w:val="00DC6571"/>
    <w:rsid w:val="00DC6A02"/>
    <w:rsid w:val="00DC7314"/>
    <w:rsid w:val="00DC7959"/>
    <w:rsid w:val="00DC7A27"/>
    <w:rsid w:val="00DC7C91"/>
    <w:rsid w:val="00DD081C"/>
    <w:rsid w:val="00DD166C"/>
    <w:rsid w:val="00DD2291"/>
    <w:rsid w:val="00DD2B7B"/>
    <w:rsid w:val="00DD41B0"/>
    <w:rsid w:val="00DD496C"/>
    <w:rsid w:val="00DD5E2F"/>
    <w:rsid w:val="00DD722E"/>
    <w:rsid w:val="00DD72C7"/>
    <w:rsid w:val="00DE082C"/>
    <w:rsid w:val="00DE0895"/>
    <w:rsid w:val="00DE0D10"/>
    <w:rsid w:val="00DE19B2"/>
    <w:rsid w:val="00DE2F75"/>
    <w:rsid w:val="00DE3217"/>
    <w:rsid w:val="00DE3DF4"/>
    <w:rsid w:val="00DE461C"/>
    <w:rsid w:val="00DE4DA0"/>
    <w:rsid w:val="00DE54E1"/>
    <w:rsid w:val="00DE5B6A"/>
    <w:rsid w:val="00DE77C6"/>
    <w:rsid w:val="00DE7959"/>
    <w:rsid w:val="00DE7A3C"/>
    <w:rsid w:val="00DE7FC9"/>
    <w:rsid w:val="00DF16EC"/>
    <w:rsid w:val="00DF26CC"/>
    <w:rsid w:val="00DF3934"/>
    <w:rsid w:val="00DF3F8E"/>
    <w:rsid w:val="00DF40F0"/>
    <w:rsid w:val="00DF4BD1"/>
    <w:rsid w:val="00DF4BF7"/>
    <w:rsid w:val="00DF6712"/>
    <w:rsid w:val="00DF69F5"/>
    <w:rsid w:val="00DF74BD"/>
    <w:rsid w:val="00DF7667"/>
    <w:rsid w:val="00E004A9"/>
    <w:rsid w:val="00E00F0C"/>
    <w:rsid w:val="00E03736"/>
    <w:rsid w:val="00E037E9"/>
    <w:rsid w:val="00E03A51"/>
    <w:rsid w:val="00E03ECB"/>
    <w:rsid w:val="00E044A4"/>
    <w:rsid w:val="00E04842"/>
    <w:rsid w:val="00E048A3"/>
    <w:rsid w:val="00E04CB2"/>
    <w:rsid w:val="00E05C91"/>
    <w:rsid w:val="00E06E84"/>
    <w:rsid w:val="00E07A0E"/>
    <w:rsid w:val="00E1343C"/>
    <w:rsid w:val="00E14346"/>
    <w:rsid w:val="00E14D46"/>
    <w:rsid w:val="00E14E84"/>
    <w:rsid w:val="00E14F26"/>
    <w:rsid w:val="00E15336"/>
    <w:rsid w:val="00E157BB"/>
    <w:rsid w:val="00E158BF"/>
    <w:rsid w:val="00E160DB"/>
    <w:rsid w:val="00E16282"/>
    <w:rsid w:val="00E1632C"/>
    <w:rsid w:val="00E16678"/>
    <w:rsid w:val="00E173C1"/>
    <w:rsid w:val="00E205CC"/>
    <w:rsid w:val="00E20A41"/>
    <w:rsid w:val="00E21AC9"/>
    <w:rsid w:val="00E23E34"/>
    <w:rsid w:val="00E25AB5"/>
    <w:rsid w:val="00E25BED"/>
    <w:rsid w:val="00E25CF2"/>
    <w:rsid w:val="00E26469"/>
    <w:rsid w:val="00E26A0E"/>
    <w:rsid w:val="00E26FDB"/>
    <w:rsid w:val="00E2728C"/>
    <w:rsid w:val="00E30EC8"/>
    <w:rsid w:val="00E31495"/>
    <w:rsid w:val="00E31DE9"/>
    <w:rsid w:val="00E33B21"/>
    <w:rsid w:val="00E35181"/>
    <w:rsid w:val="00E37514"/>
    <w:rsid w:val="00E3768C"/>
    <w:rsid w:val="00E40641"/>
    <w:rsid w:val="00E40A2C"/>
    <w:rsid w:val="00E41886"/>
    <w:rsid w:val="00E41C57"/>
    <w:rsid w:val="00E42356"/>
    <w:rsid w:val="00E42BBB"/>
    <w:rsid w:val="00E42F8F"/>
    <w:rsid w:val="00E443AE"/>
    <w:rsid w:val="00E45EC4"/>
    <w:rsid w:val="00E466E5"/>
    <w:rsid w:val="00E47415"/>
    <w:rsid w:val="00E4743E"/>
    <w:rsid w:val="00E47533"/>
    <w:rsid w:val="00E475F8"/>
    <w:rsid w:val="00E47DE5"/>
    <w:rsid w:val="00E5101E"/>
    <w:rsid w:val="00E51E62"/>
    <w:rsid w:val="00E52037"/>
    <w:rsid w:val="00E527BC"/>
    <w:rsid w:val="00E53CB1"/>
    <w:rsid w:val="00E56037"/>
    <w:rsid w:val="00E56A5C"/>
    <w:rsid w:val="00E56E66"/>
    <w:rsid w:val="00E578DB"/>
    <w:rsid w:val="00E600BC"/>
    <w:rsid w:val="00E621FC"/>
    <w:rsid w:val="00E62A30"/>
    <w:rsid w:val="00E62CEA"/>
    <w:rsid w:val="00E644FB"/>
    <w:rsid w:val="00E648F6"/>
    <w:rsid w:val="00E65F25"/>
    <w:rsid w:val="00E66842"/>
    <w:rsid w:val="00E672B7"/>
    <w:rsid w:val="00E676B6"/>
    <w:rsid w:val="00E738DC"/>
    <w:rsid w:val="00E73C7F"/>
    <w:rsid w:val="00E74714"/>
    <w:rsid w:val="00E757F2"/>
    <w:rsid w:val="00E75ADB"/>
    <w:rsid w:val="00E75BAA"/>
    <w:rsid w:val="00E7761D"/>
    <w:rsid w:val="00E77FC7"/>
    <w:rsid w:val="00E81BCF"/>
    <w:rsid w:val="00E82C6F"/>
    <w:rsid w:val="00E84C94"/>
    <w:rsid w:val="00E85EFF"/>
    <w:rsid w:val="00E867AE"/>
    <w:rsid w:val="00E86946"/>
    <w:rsid w:val="00E87EDB"/>
    <w:rsid w:val="00E91956"/>
    <w:rsid w:val="00E92236"/>
    <w:rsid w:val="00E9293A"/>
    <w:rsid w:val="00E93562"/>
    <w:rsid w:val="00E94C7A"/>
    <w:rsid w:val="00E95D94"/>
    <w:rsid w:val="00E95E23"/>
    <w:rsid w:val="00E96A6E"/>
    <w:rsid w:val="00EA07F8"/>
    <w:rsid w:val="00EA0B17"/>
    <w:rsid w:val="00EA0CDD"/>
    <w:rsid w:val="00EA1224"/>
    <w:rsid w:val="00EA1FA9"/>
    <w:rsid w:val="00EA2258"/>
    <w:rsid w:val="00EA26CE"/>
    <w:rsid w:val="00EA32D0"/>
    <w:rsid w:val="00EA3BBE"/>
    <w:rsid w:val="00EA47A9"/>
    <w:rsid w:val="00EA47D1"/>
    <w:rsid w:val="00EA573D"/>
    <w:rsid w:val="00EA6E1E"/>
    <w:rsid w:val="00EA7790"/>
    <w:rsid w:val="00EA797B"/>
    <w:rsid w:val="00EB0D79"/>
    <w:rsid w:val="00EB0EDC"/>
    <w:rsid w:val="00EB1A13"/>
    <w:rsid w:val="00EB1C33"/>
    <w:rsid w:val="00EB334A"/>
    <w:rsid w:val="00EB4B07"/>
    <w:rsid w:val="00EB5238"/>
    <w:rsid w:val="00EB6B3E"/>
    <w:rsid w:val="00EB7BB0"/>
    <w:rsid w:val="00EC0170"/>
    <w:rsid w:val="00EC0A69"/>
    <w:rsid w:val="00EC1555"/>
    <w:rsid w:val="00EC1F0B"/>
    <w:rsid w:val="00EC216E"/>
    <w:rsid w:val="00EC2526"/>
    <w:rsid w:val="00EC2E79"/>
    <w:rsid w:val="00EC3105"/>
    <w:rsid w:val="00EC5064"/>
    <w:rsid w:val="00EC51B0"/>
    <w:rsid w:val="00EC560A"/>
    <w:rsid w:val="00ED07BE"/>
    <w:rsid w:val="00ED0886"/>
    <w:rsid w:val="00ED1664"/>
    <w:rsid w:val="00ED4358"/>
    <w:rsid w:val="00ED43B6"/>
    <w:rsid w:val="00ED5543"/>
    <w:rsid w:val="00ED6DAE"/>
    <w:rsid w:val="00EE0317"/>
    <w:rsid w:val="00EE1966"/>
    <w:rsid w:val="00EE3012"/>
    <w:rsid w:val="00EE3652"/>
    <w:rsid w:val="00EE3671"/>
    <w:rsid w:val="00EE3CD4"/>
    <w:rsid w:val="00EE5003"/>
    <w:rsid w:val="00EE67B4"/>
    <w:rsid w:val="00EE6EE9"/>
    <w:rsid w:val="00EE7B2D"/>
    <w:rsid w:val="00EE7E19"/>
    <w:rsid w:val="00EF0148"/>
    <w:rsid w:val="00EF1972"/>
    <w:rsid w:val="00EF4418"/>
    <w:rsid w:val="00EF5D20"/>
    <w:rsid w:val="00EF747F"/>
    <w:rsid w:val="00F011EA"/>
    <w:rsid w:val="00F01C46"/>
    <w:rsid w:val="00F02F8C"/>
    <w:rsid w:val="00F033B0"/>
    <w:rsid w:val="00F04D2B"/>
    <w:rsid w:val="00F052E7"/>
    <w:rsid w:val="00F07961"/>
    <w:rsid w:val="00F07E5C"/>
    <w:rsid w:val="00F106FB"/>
    <w:rsid w:val="00F12F3E"/>
    <w:rsid w:val="00F1344E"/>
    <w:rsid w:val="00F13BAA"/>
    <w:rsid w:val="00F13FE3"/>
    <w:rsid w:val="00F14A1C"/>
    <w:rsid w:val="00F17E43"/>
    <w:rsid w:val="00F20EC1"/>
    <w:rsid w:val="00F21AE2"/>
    <w:rsid w:val="00F22654"/>
    <w:rsid w:val="00F23CDC"/>
    <w:rsid w:val="00F23D98"/>
    <w:rsid w:val="00F249B8"/>
    <w:rsid w:val="00F24F37"/>
    <w:rsid w:val="00F24FA8"/>
    <w:rsid w:val="00F25390"/>
    <w:rsid w:val="00F262A1"/>
    <w:rsid w:val="00F27210"/>
    <w:rsid w:val="00F27444"/>
    <w:rsid w:val="00F277F0"/>
    <w:rsid w:val="00F32206"/>
    <w:rsid w:val="00F32762"/>
    <w:rsid w:val="00F33322"/>
    <w:rsid w:val="00F3380F"/>
    <w:rsid w:val="00F33E81"/>
    <w:rsid w:val="00F340A9"/>
    <w:rsid w:val="00F35935"/>
    <w:rsid w:val="00F35F66"/>
    <w:rsid w:val="00F3682C"/>
    <w:rsid w:val="00F369C2"/>
    <w:rsid w:val="00F375C1"/>
    <w:rsid w:val="00F40536"/>
    <w:rsid w:val="00F41734"/>
    <w:rsid w:val="00F426AC"/>
    <w:rsid w:val="00F42E64"/>
    <w:rsid w:val="00F43219"/>
    <w:rsid w:val="00F457B6"/>
    <w:rsid w:val="00F467C8"/>
    <w:rsid w:val="00F46FE5"/>
    <w:rsid w:val="00F47EDC"/>
    <w:rsid w:val="00F50232"/>
    <w:rsid w:val="00F50537"/>
    <w:rsid w:val="00F50DA8"/>
    <w:rsid w:val="00F5175B"/>
    <w:rsid w:val="00F525B5"/>
    <w:rsid w:val="00F5263D"/>
    <w:rsid w:val="00F55AC3"/>
    <w:rsid w:val="00F55F01"/>
    <w:rsid w:val="00F57A3C"/>
    <w:rsid w:val="00F60A1C"/>
    <w:rsid w:val="00F61611"/>
    <w:rsid w:val="00F61914"/>
    <w:rsid w:val="00F61E7D"/>
    <w:rsid w:val="00F6221C"/>
    <w:rsid w:val="00F62C85"/>
    <w:rsid w:val="00F6324A"/>
    <w:rsid w:val="00F63CF2"/>
    <w:rsid w:val="00F64436"/>
    <w:rsid w:val="00F64E9B"/>
    <w:rsid w:val="00F65652"/>
    <w:rsid w:val="00F6573E"/>
    <w:rsid w:val="00F66F24"/>
    <w:rsid w:val="00F67DBF"/>
    <w:rsid w:val="00F71EB2"/>
    <w:rsid w:val="00F72BD3"/>
    <w:rsid w:val="00F7313C"/>
    <w:rsid w:val="00F73149"/>
    <w:rsid w:val="00F7374D"/>
    <w:rsid w:val="00F75103"/>
    <w:rsid w:val="00F75381"/>
    <w:rsid w:val="00F76C2E"/>
    <w:rsid w:val="00F77404"/>
    <w:rsid w:val="00F80EE1"/>
    <w:rsid w:val="00F81796"/>
    <w:rsid w:val="00F81C84"/>
    <w:rsid w:val="00F8546E"/>
    <w:rsid w:val="00F857E5"/>
    <w:rsid w:val="00F871BC"/>
    <w:rsid w:val="00F875DD"/>
    <w:rsid w:val="00F879FF"/>
    <w:rsid w:val="00F87B29"/>
    <w:rsid w:val="00F91137"/>
    <w:rsid w:val="00F927E6"/>
    <w:rsid w:val="00F933D7"/>
    <w:rsid w:val="00F94482"/>
    <w:rsid w:val="00F94673"/>
    <w:rsid w:val="00F94E5E"/>
    <w:rsid w:val="00F96B34"/>
    <w:rsid w:val="00F97183"/>
    <w:rsid w:val="00F977C4"/>
    <w:rsid w:val="00F97F4F"/>
    <w:rsid w:val="00FA0824"/>
    <w:rsid w:val="00FA1E1D"/>
    <w:rsid w:val="00FA2216"/>
    <w:rsid w:val="00FA27CC"/>
    <w:rsid w:val="00FA3CD0"/>
    <w:rsid w:val="00FA5484"/>
    <w:rsid w:val="00FA5869"/>
    <w:rsid w:val="00FA6706"/>
    <w:rsid w:val="00FA694D"/>
    <w:rsid w:val="00FA6B36"/>
    <w:rsid w:val="00FA712D"/>
    <w:rsid w:val="00FB003F"/>
    <w:rsid w:val="00FB0854"/>
    <w:rsid w:val="00FB2AB3"/>
    <w:rsid w:val="00FB35A3"/>
    <w:rsid w:val="00FB374C"/>
    <w:rsid w:val="00FB39CD"/>
    <w:rsid w:val="00FB431B"/>
    <w:rsid w:val="00FB4778"/>
    <w:rsid w:val="00FB5AF7"/>
    <w:rsid w:val="00FB5FB9"/>
    <w:rsid w:val="00FB6269"/>
    <w:rsid w:val="00FB63A2"/>
    <w:rsid w:val="00FB696D"/>
    <w:rsid w:val="00FB6D14"/>
    <w:rsid w:val="00FC04C2"/>
    <w:rsid w:val="00FC1F69"/>
    <w:rsid w:val="00FC47B5"/>
    <w:rsid w:val="00FC57CC"/>
    <w:rsid w:val="00FC5AE8"/>
    <w:rsid w:val="00FC5D02"/>
    <w:rsid w:val="00FC60BE"/>
    <w:rsid w:val="00FC643A"/>
    <w:rsid w:val="00FC6667"/>
    <w:rsid w:val="00FD04CC"/>
    <w:rsid w:val="00FD13EB"/>
    <w:rsid w:val="00FD1576"/>
    <w:rsid w:val="00FD184A"/>
    <w:rsid w:val="00FD2C31"/>
    <w:rsid w:val="00FD316C"/>
    <w:rsid w:val="00FD37B1"/>
    <w:rsid w:val="00FD4A66"/>
    <w:rsid w:val="00FD520A"/>
    <w:rsid w:val="00FD5D5A"/>
    <w:rsid w:val="00FD5DC0"/>
    <w:rsid w:val="00FD724B"/>
    <w:rsid w:val="00FD76B7"/>
    <w:rsid w:val="00FE0DC5"/>
    <w:rsid w:val="00FE1CC1"/>
    <w:rsid w:val="00FE252E"/>
    <w:rsid w:val="00FE330F"/>
    <w:rsid w:val="00FE50F4"/>
    <w:rsid w:val="00FE6A52"/>
    <w:rsid w:val="00FE73DE"/>
    <w:rsid w:val="00FE7E18"/>
    <w:rsid w:val="00FF033F"/>
    <w:rsid w:val="00FF0AB6"/>
    <w:rsid w:val="00FF2A30"/>
    <w:rsid w:val="00FF4721"/>
    <w:rsid w:val="00FF499C"/>
    <w:rsid w:val="00FF5660"/>
    <w:rsid w:val="00FF609A"/>
    <w:rsid w:val="00FF6262"/>
    <w:rsid w:val="00FF668F"/>
    <w:rsid w:val="00FF6728"/>
    <w:rsid w:val="00FF70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3454"/>
  <w15:docId w15:val="{08AC4BE5-2803-415A-B7CD-C891A36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sz w:val="22"/>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Part"/>
    <w:basedOn w:val="Normal"/>
    <w:next w:val="Heading2"/>
    <w:qFormat/>
    <w:pPr>
      <w:spacing w:after="240"/>
      <w:jc w:val="center"/>
      <w:outlineLvl w:val="0"/>
    </w:pPr>
    <w:rPr>
      <w:rFonts w:ascii="Arial" w:hAnsi="Arial"/>
      <w:b/>
      <w:color w:val="5F5F5F"/>
      <w:sz w:val="32"/>
    </w:rPr>
  </w:style>
  <w:style w:type="paragraph" w:styleId="Heading2">
    <w:name w:val="heading 2"/>
    <w:aliases w:val="Chapter Title"/>
    <w:basedOn w:val="Heading4"/>
    <w:next w:val="Heading4"/>
    <w:qFormat/>
    <w:rsid w:val="00F20EC1"/>
    <w:pPr>
      <w:outlineLvl w:val="1"/>
    </w:pPr>
  </w:style>
  <w:style w:type="paragraph" w:styleId="Heading3">
    <w:name w:val="heading 3"/>
    <w:aliases w:val="Section"/>
    <w:basedOn w:val="Normal"/>
    <w:next w:val="Heading4"/>
    <w:qFormat/>
    <w:pPr>
      <w:spacing w:after="240"/>
      <w:jc w:val="center"/>
      <w:outlineLvl w:val="2"/>
    </w:pPr>
    <w:rPr>
      <w:rFonts w:ascii="Arial" w:hAnsi="Arial"/>
      <w:b/>
      <w:color w:val="006600"/>
      <w:sz w:val="32"/>
    </w:rPr>
  </w:style>
  <w:style w:type="paragraph" w:styleId="Heading4">
    <w:name w:val="heading 4"/>
    <w:aliases w:val="Map Title"/>
    <w:basedOn w:val="Normal"/>
    <w:next w:val="Normal"/>
    <w:qFormat/>
    <w:pPr>
      <w:spacing w:after="240"/>
      <w:outlineLvl w:val="3"/>
    </w:pPr>
    <w:rPr>
      <w:rFonts w:ascii="Arial" w:hAnsi="Arial"/>
      <w:b/>
      <w:color w:val="006600"/>
      <w:sz w:val="32"/>
    </w:rPr>
  </w:style>
  <w:style w:type="paragraph" w:styleId="Heading5">
    <w:name w:val="heading 5"/>
    <w:aliases w:val="Block Label"/>
    <w:basedOn w:val="Normal"/>
    <w:next w:val="Normal"/>
    <w:qFormat/>
    <w:pPr>
      <w:outlineLvl w:val="4"/>
    </w:pPr>
    <w:rPr>
      <w:rFonts w:ascii="Arial" w:hAnsi="Arial"/>
      <w:b/>
      <w:color w:val="000080"/>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pPr>
      <w:pBdr>
        <w:top w:val="single" w:sz="6" w:space="1" w:color="008080"/>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97"/>
      </w:tabs>
    </w:pPr>
  </w:style>
  <w:style w:type="paragraph" w:customStyle="1" w:styleId="BulletText2">
    <w:name w:val="Bullet Text 2"/>
    <w:basedOn w:val="BulletText1"/>
    <w:pPr>
      <w:numPr>
        <w:numId w:val="3"/>
      </w:numPr>
      <w:spacing w:before="120"/>
    </w:pPr>
  </w:style>
  <w:style w:type="paragraph" w:customStyle="1" w:styleId="ContinuedOnNextPa">
    <w:name w:val="Continued On Next Pa"/>
    <w:basedOn w:val="Normal"/>
    <w:next w:val="Normal"/>
    <w:pPr>
      <w:pBdr>
        <w:top w:val="single" w:sz="6" w:space="1" w:color="008080"/>
        <w:between w:val="single" w:sz="6" w:space="1" w:color="auto"/>
      </w:pBdr>
      <w:ind w:left="1700"/>
      <w:jc w:val="right"/>
    </w:pPr>
    <w:rPr>
      <w:rFonts w:ascii="Times New Roman" w:hAnsi="Times New Roman"/>
      <w:i/>
      <w:sz w:val="20"/>
    </w:rPr>
  </w:style>
  <w:style w:type="paragraph" w:customStyle="1" w:styleId="ContinuedTableLabe">
    <w:name w:val="Continued Table Labe"/>
    <w:basedOn w:val="Normal"/>
    <w:rPr>
      <w:rFonts w:ascii="Arial" w:hAnsi="Arial"/>
      <w:color w:val="000080"/>
    </w:rPr>
  </w:style>
  <w:style w:type="paragraph" w:customStyle="1" w:styleId="MapTitleContinued">
    <w:name w:val="Map Title. Continued"/>
    <w:basedOn w:val="Normal"/>
    <w:pPr>
      <w:spacing w:after="240"/>
    </w:pPr>
    <w:rPr>
      <w:rFonts w:ascii="Arial" w:hAnsi="Arial"/>
      <w:b/>
      <w:color w:val="006600"/>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pPr>
      <w:spacing w:before="20" w:after="20"/>
    </w:pPr>
  </w:style>
  <w:style w:type="paragraph" w:customStyle="1" w:styleId="NoteText">
    <w:name w:val="Note Text"/>
    <w:basedOn w:val="BlockText"/>
  </w:style>
  <w:style w:type="paragraph" w:customStyle="1" w:styleId="TableHeaderText">
    <w:name w:val="Table Header Text"/>
    <w:basedOn w:val="TableText"/>
    <w:pPr>
      <w:spacing w:before="60" w:after="60"/>
      <w:jc w:val="center"/>
    </w:pPr>
    <w:rPr>
      <w:b/>
      <w:color w:val="006666"/>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rFonts w:ascii="Tahoma" w:hAnsi="Tahoma"/>
      <w:color w:val="3333CC"/>
      <w:sz w:val="22"/>
      <w:u w:val="single"/>
    </w:rPr>
  </w:style>
  <w:style w:type="paragraph" w:customStyle="1" w:styleId="BulletText3">
    <w:name w:val="Bullet Text 3"/>
    <w:basedOn w:val="BulletText2"/>
    <w:pPr>
      <w:numPr>
        <w:numId w:val="2"/>
      </w:numPr>
      <w:spacing w:before="60"/>
    </w:pPr>
  </w:style>
  <w:style w:type="character" w:styleId="FollowedHyperlink">
    <w:name w:val="FollowedHyperlink"/>
    <w:rPr>
      <w:rFonts w:ascii="Tahoma" w:hAnsi="Tahoma"/>
      <w:color w:val="339966"/>
      <w:sz w:val="22"/>
      <w:u w:val="single"/>
    </w:rPr>
  </w:style>
  <w:style w:type="paragraph" w:customStyle="1" w:styleId="BulletPoints">
    <w:name w:val="Bullet Points"/>
    <w:basedOn w:val="Normal"/>
    <w:rsid w:val="00386C7D"/>
    <w:pPr>
      <w:numPr>
        <w:numId w:val="4"/>
      </w:numPr>
      <w:overflowPunct w:val="0"/>
      <w:autoSpaceDE w:val="0"/>
      <w:autoSpaceDN w:val="0"/>
      <w:adjustRightInd w:val="0"/>
      <w:spacing w:after="240"/>
      <w:jc w:val="both"/>
      <w:textAlignment w:val="baseline"/>
    </w:pPr>
    <w:rPr>
      <w:rFonts w:ascii="Arial" w:hAnsi="Arial"/>
      <w:sz w:val="24"/>
      <w:lang w:bidi="ar-DZ"/>
    </w:rPr>
  </w:style>
  <w:style w:type="paragraph" w:styleId="BalloonText">
    <w:name w:val="Balloon Text"/>
    <w:basedOn w:val="Normal"/>
    <w:link w:val="BalloonTextChar"/>
    <w:rsid w:val="0094536D"/>
    <w:rPr>
      <w:sz w:val="16"/>
      <w:szCs w:val="16"/>
    </w:rPr>
  </w:style>
  <w:style w:type="character" w:customStyle="1" w:styleId="BalloonTextChar">
    <w:name w:val="Balloon Text Char"/>
    <w:link w:val="BalloonText"/>
    <w:rsid w:val="0094536D"/>
    <w:rPr>
      <w:rFonts w:ascii="Tahoma" w:hAnsi="Tahoma" w:cs="Tahoma"/>
      <w:sz w:val="16"/>
      <w:szCs w:val="16"/>
      <w:lang w:eastAsia="en-US"/>
    </w:rPr>
  </w:style>
  <w:style w:type="character" w:customStyle="1" w:styleId="HeaderChar">
    <w:name w:val="Header Char"/>
    <w:link w:val="Header"/>
    <w:rsid w:val="004D0DD7"/>
    <w:rPr>
      <w:rFonts w:ascii="Tahoma" w:hAnsi="Tahoma"/>
      <w:sz w:val="22"/>
      <w:lang w:eastAsia="en-US"/>
    </w:rPr>
  </w:style>
  <w:style w:type="paragraph" w:styleId="Revision">
    <w:name w:val="Revision"/>
    <w:hidden/>
    <w:uiPriority w:val="99"/>
    <w:semiHidden/>
    <w:rsid w:val="004D0DD7"/>
    <w:rPr>
      <w:lang w:eastAsia="en-US"/>
    </w:rPr>
  </w:style>
  <w:style w:type="character" w:styleId="CommentReference">
    <w:name w:val="annotation reference"/>
    <w:rsid w:val="004D0DD7"/>
    <w:rPr>
      <w:sz w:val="16"/>
      <w:szCs w:val="16"/>
    </w:rPr>
  </w:style>
  <w:style w:type="paragraph" w:styleId="CommentText">
    <w:name w:val="annotation text"/>
    <w:basedOn w:val="Normal"/>
    <w:link w:val="CommentTextChar"/>
    <w:rsid w:val="004D0DD7"/>
    <w:rPr>
      <w:sz w:val="20"/>
    </w:rPr>
  </w:style>
  <w:style w:type="character" w:customStyle="1" w:styleId="CommentTextChar">
    <w:name w:val="Comment Text Char"/>
    <w:link w:val="CommentText"/>
    <w:rsid w:val="004D0DD7"/>
    <w:rPr>
      <w:rFonts w:ascii="Tahoma" w:hAnsi="Tahoma"/>
      <w:lang w:eastAsia="en-US"/>
    </w:rPr>
  </w:style>
  <w:style w:type="paragraph" w:styleId="CommentSubject">
    <w:name w:val="annotation subject"/>
    <w:basedOn w:val="CommentText"/>
    <w:next w:val="CommentText"/>
    <w:link w:val="CommentSubjectChar"/>
    <w:rsid w:val="004D0DD7"/>
    <w:rPr>
      <w:b/>
      <w:bCs/>
    </w:rPr>
  </w:style>
  <w:style w:type="character" w:customStyle="1" w:styleId="CommentSubjectChar">
    <w:name w:val="Comment Subject Char"/>
    <w:link w:val="CommentSubject"/>
    <w:rsid w:val="004D0DD7"/>
    <w:rPr>
      <w:rFonts w:ascii="Tahoma" w:hAnsi="Tahoma"/>
      <w:b/>
      <w:bCs/>
      <w:lang w:eastAsia="en-US"/>
    </w:rPr>
  </w:style>
  <w:style w:type="table" w:styleId="TableGrid">
    <w:name w:val="Table Grid"/>
    <w:basedOn w:val="TableNormal"/>
    <w:rsid w:val="00985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7314"/>
    <w:rPr>
      <w:color w:val="605E5C"/>
      <w:shd w:val="clear" w:color="auto" w:fill="E1DFDD"/>
    </w:rPr>
  </w:style>
  <w:style w:type="character" w:customStyle="1" w:styleId="FooterChar">
    <w:name w:val="Footer Char"/>
    <w:basedOn w:val="DefaultParagraphFont"/>
    <w:link w:val="Footer"/>
    <w:uiPriority w:val="99"/>
    <w:rsid w:val="00F20EC1"/>
    <w:rPr>
      <w:rFonts w:ascii="Tahoma" w:hAnsi="Tahoma"/>
      <w:sz w:val="22"/>
      <w:lang w:eastAsia="en-US"/>
    </w:rPr>
  </w:style>
  <w:style w:type="paragraph" w:styleId="ListParagraph">
    <w:name w:val="List Paragraph"/>
    <w:basedOn w:val="Normal"/>
    <w:uiPriority w:val="34"/>
    <w:qFormat/>
    <w:rsid w:val="00381F48"/>
    <w:pPr>
      <w:ind w:left="720"/>
      <w:contextualSpacing/>
    </w:pPr>
  </w:style>
  <w:style w:type="paragraph" w:styleId="Bibliography">
    <w:name w:val="Bibliography"/>
    <w:basedOn w:val="Normal"/>
    <w:next w:val="Normal"/>
    <w:uiPriority w:val="37"/>
    <w:unhideWhenUsed/>
    <w:rsid w:val="00520F32"/>
    <w:pPr>
      <w:spacing w:line="480" w:lineRule="auto"/>
      <w:ind w:left="720" w:hanging="720"/>
    </w:pPr>
  </w:style>
  <w:style w:type="paragraph" w:styleId="NormalWeb">
    <w:name w:val="Normal (Web)"/>
    <w:basedOn w:val="Normal"/>
    <w:semiHidden/>
    <w:unhideWhenUsed/>
    <w:rsid w:val="00532838"/>
    <w:rPr>
      <w:rFonts w:ascii="Times New Roman" w:hAnsi="Times New Roman"/>
      <w:sz w:val="24"/>
      <w:szCs w:val="24"/>
    </w:rPr>
  </w:style>
  <w:style w:type="paragraph" w:styleId="NoSpacing">
    <w:name w:val="No Spacing"/>
    <w:link w:val="NoSpacingChar"/>
    <w:uiPriority w:val="1"/>
    <w:qFormat/>
    <w:rsid w:val="001C0FB3"/>
    <w:rPr>
      <w:rFonts w:asciiTheme="minorHAnsi" w:eastAsiaTheme="minorEastAsia" w:hAnsiTheme="minorHAnsi" w:cstheme="minorBidi"/>
      <w:szCs w:val="22"/>
      <w:lang w:val="en-US" w:eastAsia="en-US"/>
    </w:rPr>
  </w:style>
  <w:style w:type="character" w:customStyle="1" w:styleId="NoSpacingChar">
    <w:name w:val="No Spacing Char"/>
    <w:basedOn w:val="DefaultParagraphFont"/>
    <w:link w:val="NoSpacing"/>
    <w:uiPriority w:val="1"/>
    <w:rsid w:val="001C0FB3"/>
    <w:rPr>
      <w:rFonts w:asciiTheme="minorHAnsi" w:eastAsiaTheme="minorEastAsia" w:hAnsiTheme="minorHAnsi" w:cstheme="minorBidi"/>
      <w:szCs w:val="22"/>
      <w:lang w:val="en-US" w:eastAsia="en-US"/>
    </w:rPr>
  </w:style>
  <w:style w:type="table" w:styleId="GridTable1Light-Accent1">
    <w:name w:val="Grid Table 1 Light Accent 1"/>
    <w:basedOn w:val="TableNormal"/>
    <w:uiPriority w:val="46"/>
    <w:rsid w:val="00F94482"/>
    <w:tblPr>
      <w:tblStyleRowBandSize w:val="1"/>
      <w:tblStyleColBandSize w:val="1"/>
      <w:tblBorders>
        <w:top w:val="single" w:sz="4" w:space="0" w:color="DECDE8" w:themeColor="accent1" w:themeTint="66"/>
        <w:left w:val="single" w:sz="4" w:space="0" w:color="DECDE8" w:themeColor="accent1" w:themeTint="66"/>
        <w:bottom w:val="single" w:sz="4" w:space="0" w:color="DECDE8" w:themeColor="accent1" w:themeTint="66"/>
        <w:right w:val="single" w:sz="4" w:space="0" w:color="DECDE8" w:themeColor="accent1" w:themeTint="66"/>
        <w:insideH w:val="single" w:sz="4" w:space="0" w:color="DECDE8" w:themeColor="accent1" w:themeTint="66"/>
        <w:insideV w:val="single" w:sz="4" w:space="0" w:color="DECDE8" w:themeColor="accent1" w:themeTint="66"/>
      </w:tblBorders>
    </w:tblPr>
    <w:tblStylePr w:type="firstRow">
      <w:rPr>
        <w:b/>
        <w:bCs/>
      </w:rPr>
      <w:tblPr/>
      <w:tcPr>
        <w:tcBorders>
          <w:bottom w:val="single" w:sz="12" w:space="0" w:color="CDB5DC" w:themeColor="accent1" w:themeTint="99"/>
        </w:tcBorders>
      </w:tcPr>
    </w:tblStylePr>
    <w:tblStylePr w:type="lastRow">
      <w:rPr>
        <w:b/>
        <w:bCs/>
      </w:rPr>
      <w:tblPr/>
      <w:tcPr>
        <w:tcBorders>
          <w:top w:val="double" w:sz="2" w:space="0" w:color="CDB5D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E2264"/>
    <w:tblPr>
      <w:tblStyleRowBandSize w:val="1"/>
      <w:tblStyleColBandSize w:val="1"/>
      <w:tblBorders>
        <w:top w:val="single" w:sz="4" w:space="0" w:color="CECDE8" w:themeColor="accent2" w:themeTint="66"/>
        <w:left w:val="single" w:sz="4" w:space="0" w:color="CECDE8" w:themeColor="accent2" w:themeTint="66"/>
        <w:bottom w:val="single" w:sz="4" w:space="0" w:color="CECDE8" w:themeColor="accent2" w:themeTint="66"/>
        <w:right w:val="single" w:sz="4" w:space="0" w:color="CECDE8" w:themeColor="accent2" w:themeTint="66"/>
        <w:insideH w:val="single" w:sz="4" w:space="0" w:color="CECDE8" w:themeColor="accent2" w:themeTint="66"/>
        <w:insideV w:val="single" w:sz="4" w:space="0" w:color="CECDE8" w:themeColor="accent2" w:themeTint="66"/>
      </w:tblBorders>
    </w:tblPr>
    <w:tblStylePr w:type="firstRow">
      <w:rPr>
        <w:b/>
        <w:bCs/>
      </w:rPr>
      <w:tblPr/>
      <w:tcPr>
        <w:tcBorders>
          <w:bottom w:val="single" w:sz="12" w:space="0" w:color="B6B5DD" w:themeColor="accent2" w:themeTint="99"/>
        </w:tcBorders>
      </w:tcPr>
    </w:tblStylePr>
    <w:tblStylePr w:type="lastRow">
      <w:rPr>
        <w:b/>
        <w:bCs/>
      </w:rPr>
      <w:tblPr/>
      <w:tcPr>
        <w:tcBorders>
          <w:top w:val="double" w:sz="2" w:space="0" w:color="B6B5DD" w:themeColor="accent2" w:themeTint="99"/>
        </w:tcBorders>
      </w:tcPr>
    </w:tblStylePr>
    <w:tblStylePr w:type="firstCol">
      <w:rPr>
        <w:b/>
        <w:bCs/>
      </w:rPr>
    </w:tblStylePr>
    <w:tblStylePr w:type="lastCol">
      <w:rPr>
        <w:b/>
        <w:bCs/>
      </w:rPr>
    </w:tblStylePr>
  </w:style>
  <w:style w:type="character" w:styleId="Emphasis">
    <w:name w:val="Emphasis"/>
    <w:basedOn w:val="DefaultParagraphFont"/>
    <w:qFormat/>
    <w:rsid w:val="00995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AT\template\Infomap.new.dot"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726772"/>
      </a:lt2>
      <a:accent1>
        <a:srgbClr val="AD84C6"/>
      </a:accent1>
      <a:accent2>
        <a:srgbClr val="8784C7"/>
      </a:accent2>
      <a:accent3>
        <a:srgbClr val="5D739A"/>
      </a:accent3>
      <a:accent4>
        <a:srgbClr val="6997AF"/>
      </a:accent4>
      <a:accent5>
        <a:srgbClr val="84ACB6"/>
      </a:accent5>
      <a:accent6>
        <a:srgbClr val="6F8183"/>
      </a:accent6>
      <a:hlink>
        <a:srgbClr val="002060"/>
      </a:hlink>
      <a:folHlink>
        <a:srgbClr val="514D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2.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2" ma:contentTypeDescription="Create a new document." ma:contentTypeScope="" ma:versionID="a950475c9efcf5f9a73f6cfee1464052">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b815a09abdb4de27311cf5b0385d1174"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B560-93AB-4BB2-AD7F-16FBEDC3FCA4}">
  <ds:schemaRefs>
    <ds:schemaRef ds:uri="http://schemas.openxmlformats.org/officeDocument/2006/bibliography"/>
  </ds:schemaRefs>
</ds:datastoreItem>
</file>

<file path=customXml/itemProps2.xml><?xml version="1.0" encoding="utf-8"?>
<ds:datastoreItem xmlns:ds="http://schemas.openxmlformats.org/officeDocument/2006/customXml" ds:itemID="{FCB2BB06-E77B-4CC9-82E7-6512B7426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A635A-8983-43ED-8104-55CC94BBAA58}">
  <ds:schemaRefs>
    <ds:schemaRef ds:uri="http://schemas.microsoft.com/sharepoint/v3/contenttype/forms"/>
  </ds:schemaRefs>
</ds:datastoreItem>
</file>

<file path=customXml/itemProps4.xml><?xml version="1.0" encoding="utf-8"?>
<ds:datastoreItem xmlns:ds="http://schemas.openxmlformats.org/officeDocument/2006/customXml" ds:itemID="{835DB361-E364-4D1E-AEF7-6C1B8046891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2b2326c-f811-4ccc-abcb-1b955c303c2e}" enabled="1" method="Standard" siteId="{dc781727-710e-4855-bc4c-690266a1b551}" removed="0"/>
</clbl:labelList>
</file>

<file path=docProps/app.xml><?xml version="1.0" encoding="utf-8"?>
<Properties xmlns="http://schemas.openxmlformats.org/officeDocument/2006/extended-properties" xmlns:vt="http://schemas.openxmlformats.org/officeDocument/2006/docPropsVTypes">
  <Template>Infomap.new</Template>
  <TotalTime>16</TotalTime>
  <Pages>8</Pages>
  <Words>3700</Words>
  <Characters>53895</Characters>
  <Application>Microsoft Office Word</Application>
  <DocSecurity>0</DocSecurity>
  <Lines>1539</Lines>
  <Paragraphs>309</Paragraphs>
  <ScaleCrop>false</ScaleCrop>
  <HeadingPairs>
    <vt:vector size="2" baseType="variant">
      <vt:variant>
        <vt:lpstr>Title</vt:lpstr>
      </vt:variant>
      <vt:variant>
        <vt:i4>1</vt:i4>
      </vt:variant>
    </vt:vector>
  </HeadingPairs>
  <TitlesOfParts>
    <vt:vector size="1" baseType="lpstr">
      <vt:lpstr>yOUR NAME</vt:lpstr>
    </vt:vector>
  </TitlesOfParts>
  <Company>Ministry of Foreign Affairs and Trade</Company>
  <LinksUpToDate>false</LinksUpToDate>
  <CharactersWithSpaces>57286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Naomi Moya</dc:creator>
  <cp:keywords/>
  <dc:description/>
  <cp:lastModifiedBy>Naomi Moya</cp:lastModifiedBy>
  <cp:revision>3</cp:revision>
  <cp:lastPrinted>2011-10-27T23:11:00Z</cp:lastPrinted>
  <dcterms:created xsi:type="dcterms:W3CDTF">2026-04-08T01:48:00Z</dcterms:created>
  <dcterms:modified xsi:type="dcterms:W3CDTF">2026-04-08T01:58:00Z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_dlc_policyId">
    <vt:lpwstr>0x01010077AA9D1CFFA240DC80DAD99CA5F5CD00|-1830060468</vt:lpwstr>
  </property>
  <property fmtid="{D5CDD505-2E9C-101B-9397-08002B2CF9AE}" pid="4" name="ItemRetentionFormula">
    <vt:lpwstr/>
  </property>
  <property fmtid="{D5CDD505-2E9C-101B-9397-08002B2CF9AE}" pid="5" name="_dlc_DocIdItemGuid">
    <vt:lpwstr>5ad16565-20e7-493f-a51f-c575c89cbaeb</vt:lpwstr>
  </property>
  <property fmtid="{D5CDD505-2E9C-101B-9397-08002B2CF9AE}" pid="6" name="Order">
    <vt:r8>473100</vt:r8>
  </property>
  <property fmtid="{D5CDD505-2E9C-101B-9397-08002B2CF9AE}" pid="7" name="Topic">
    <vt:lpwstr>904;#Administration|dbd2b400-2f41-44be-9ffb-5d674245dc6e</vt:lpwstr>
  </property>
  <property fmtid="{D5CDD505-2E9C-101B-9397-08002B2CF9AE}" pid="8" name="FinancialYear">
    <vt:lpwstr/>
  </property>
  <property fmtid="{D5CDD505-2E9C-101B-9397-08002B2CF9AE}" pid="9" name="SecurityClassification">
    <vt:lpwstr>344;#UNCLASSIFIED|738a72fd-0042-476f-991b-551c05ade48c</vt:lpwstr>
  </property>
  <property fmtid="{D5CDD505-2E9C-101B-9397-08002B2CF9AE}" pid="10" name="Programme">
    <vt:lpwstr>2240;#Strategic Evaluation and Research|5a900277-3cfe-4758-969b-6dcd1f2e2940</vt:lpwstr>
  </property>
  <property fmtid="{D5CDD505-2E9C-101B-9397-08002B2CF9AE}" pid="11" name="CoveringClassification">
    <vt:lpwstr/>
  </property>
  <property fmtid="{D5CDD505-2E9C-101B-9397-08002B2CF9AE}" pid="12" name="SecurityCaveat">
    <vt:lpwstr/>
  </property>
  <property fmtid="{D5CDD505-2E9C-101B-9397-08002B2CF9AE}" pid="13" name="_dlc_LastRun">
    <vt:lpwstr>08/31/2019 23:28:34</vt:lpwstr>
  </property>
  <property fmtid="{D5CDD505-2E9C-101B-9397-08002B2CF9AE}" pid="14" name="_dlc_ItemStageId">
    <vt:lpwstr>1</vt:lpwstr>
  </property>
  <property fmtid="{D5CDD505-2E9C-101B-9397-08002B2CF9AE}" pid="15" name="GrammarlyDocumentId">
    <vt:lpwstr>1650c809785641c4348fad73f9bed9dd93f977bd7ef11c279579d9b7dea66773</vt:lpwstr>
  </property>
  <property fmtid="{D5CDD505-2E9C-101B-9397-08002B2CF9AE}" pid="16" name="MSIP_Label_bd9e4d68-54d0-40a5-8c9a-85a36c87352c_Enabled">
    <vt:lpwstr>true</vt:lpwstr>
  </property>
  <property fmtid="{D5CDD505-2E9C-101B-9397-08002B2CF9AE}" pid="17" name="MSIP_Label_bd9e4d68-54d0-40a5-8c9a-85a36c87352c_SetDate">
    <vt:lpwstr>2024-05-03T04:33:00Z</vt:lpwstr>
  </property>
  <property fmtid="{D5CDD505-2E9C-101B-9397-08002B2CF9AE}" pid="18" name="MSIP_Label_bd9e4d68-54d0-40a5-8c9a-85a36c87352c_Method">
    <vt:lpwstr>Standard</vt:lpwstr>
  </property>
  <property fmtid="{D5CDD505-2E9C-101B-9397-08002B2CF9AE}" pid="19" name="MSIP_Label_bd9e4d68-54d0-40a5-8c9a-85a36c87352c_Name">
    <vt:lpwstr>Unclassified</vt:lpwstr>
  </property>
  <property fmtid="{D5CDD505-2E9C-101B-9397-08002B2CF9AE}" pid="20" name="MSIP_Label_bd9e4d68-54d0-40a5-8c9a-85a36c87352c_SiteId">
    <vt:lpwstr>388728e1-bbd0-4378-98dc-f8682e644300</vt:lpwstr>
  </property>
  <property fmtid="{D5CDD505-2E9C-101B-9397-08002B2CF9AE}" pid="21" name="MSIP_Label_bd9e4d68-54d0-40a5-8c9a-85a36c87352c_ActionId">
    <vt:lpwstr>18f909c1-9e61-45bb-843a-94a63e2ec0b5</vt:lpwstr>
  </property>
  <property fmtid="{D5CDD505-2E9C-101B-9397-08002B2CF9AE}" pid="22" name="MSIP_Label_bd9e4d68-54d0-40a5-8c9a-85a36c87352c_ContentBits">
    <vt:lpwstr>0</vt:lpwstr>
  </property>
  <property fmtid="{D5CDD505-2E9C-101B-9397-08002B2CF9AE}" pid="23" name="ZOTERO_PREF_1">
    <vt:lpwstr>&lt;data data-version="3" zotero-version="8.0.3"&gt;&lt;session id="eQmYBcAg"/&gt;&lt;style id="http://www.zotero.org/styles/apa" locale="en-US" hasBibliography="1" bibliographyStyleHasBeenSet="1"/&gt;&lt;prefs&gt;&lt;pref name="fieldType" value="Field"/&gt;&lt;/prefs&gt;&lt;/data&gt;</vt:lpwstr>
  </property>
  <property fmtid="{D5CDD505-2E9C-101B-9397-08002B2CF9AE}" pid="24" name="MSIP_Label_d2b2326c-f811-4ccc-abcb-1b955c303c2e_Enabled">
    <vt:lpwstr>true</vt:lpwstr>
  </property>
  <property fmtid="{D5CDD505-2E9C-101B-9397-08002B2CF9AE}" pid="25" name="MSIP_Label_d2b2326c-f811-4ccc-abcb-1b955c303c2e_SetDate">
    <vt:lpwstr>2026-01-20T03:52:29Z</vt:lpwstr>
  </property>
  <property fmtid="{D5CDD505-2E9C-101B-9397-08002B2CF9AE}" pid="26" name="MSIP_Label_d2b2326c-f811-4ccc-abcb-1b955c303c2e_Method">
    <vt:lpwstr>Standard</vt:lpwstr>
  </property>
  <property fmtid="{D5CDD505-2E9C-101B-9397-08002B2CF9AE}" pid="27" name="MSIP_Label_d2b2326c-f811-4ccc-abcb-1b955c303c2e_Name">
    <vt:lpwstr>In-Confidence</vt:lpwstr>
  </property>
  <property fmtid="{D5CDD505-2E9C-101B-9397-08002B2CF9AE}" pid="28" name="MSIP_Label_d2b2326c-f811-4ccc-abcb-1b955c303c2e_SiteId">
    <vt:lpwstr>dc781727-710e-4855-bc4c-690266a1b551</vt:lpwstr>
  </property>
  <property fmtid="{D5CDD505-2E9C-101B-9397-08002B2CF9AE}" pid="29" name="MSIP_Label_d2b2326c-f811-4ccc-abcb-1b955c303c2e_ActionId">
    <vt:lpwstr>074de29d-320d-49a0-9ccd-e8aa2194f463</vt:lpwstr>
  </property>
  <property fmtid="{D5CDD505-2E9C-101B-9397-08002B2CF9AE}" pid="30" name="MSIP_Label_d2b2326c-f811-4ccc-abcb-1b955c303c2e_ContentBits">
    <vt:lpwstr>2</vt:lpwstr>
  </property>
  <property fmtid="{D5CDD505-2E9C-101B-9397-08002B2CF9AE}" pid="31" name="MSIP_Label_d2b2326c-f811-4ccc-abcb-1b955c303c2e_Tag">
    <vt:lpwstr>50, 3, 0, 1</vt:lpwstr>
  </property>
</Properties>
</file>