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EB1C9" w14:textId="77777777" w:rsidR="006A013B" w:rsidRDefault="006A013B">
      <w:pPr>
        <w:sectPr w:rsidR="006A013B">
          <w:headerReference w:type="even" r:id="rId8"/>
          <w:headerReference w:type="default" r:id="rId9"/>
          <w:footerReference w:type="even" r:id="rId10"/>
          <w:footerReference w:type="default" r:id="rId11"/>
          <w:headerReference w:type="first" r:id="rId12"/>
          <w:footerReference w:type="first" r:id="rId13"/>
          <w:pgSz w:w="11907" w:h="16840"/>
          <w:pgMar w:top="238" w:right="1418" w:bottom="1021" w:left="1418" w:header="0" w:footer="0" w:gutter="0"/>
          <w:pgNumType w:start="1"/>
          <w:cols w:space="720"/>
          <w:titlePg/>
        </w:sectPr>
      </w:pPr>
    </w:p>
    <w:p w14:paraId="54A75824" w14:textId="77777777" w:rsidR="006A013B" w:rsidRDefault="00000000">
      <w:pPr>
        <w:ind w:firstLine="720"/>
        <w:jc w:val="center"/>
        <w:rPr>
          <w:rFonts w:ascii="Calibri" w:eastAsia="Calibri" w:hAnsi="Calibri" w:cs="Calibri"/>
          <w:color w:val="006600"/>
          <w:sz w:val="26"/>
          <w:szCs w:val="26"/>
        </w:rPr>
      </w:pPr>
      <w:r>
        <w:rPr>
          <w:rFonts w:ascii="Calibri" w:eastAsia="Calibri" w:hAnsi="Calibri" w:cs="Calibri"/>
          <w:color w:val="006600"/>
          <w:sz w:val="26"/>
          <w:szCs w:val="26"/>
        </w:rPr>
        <w:t>Priyam Maharaj| PHD | ŌTĀKOU WHAKAIHU WAKA|UNIVERSITY OF OTAGO</w:t>
      </w:r>
    </w:p>
    <w:p w14:paraId="32ED3B1D" w14:textId="77777777" w:rsidR="006A013B" w:rsidRDefault="006A013B">
      <w:pPr>
        <w:ind w:firstLine="720"/>
        <w:jc w:val="center"/>
        <w:rPr>
          <w:rFonts w:ascii="Calibri" w:eastAsia="Calibri" w:hAnsi="Calibri" w:cs="Calibri"/>
          <w:sz w:val="26"/>
          <w:szCs w:val="26"/>
        </w:rPr>
      </w:pPr>
    </w:p>
    <w:p w14:paraId="52019FCD" w14:textId="77777777" w:rsidR="006A013B" w:rsidRDefault="00000000">
      <w:pPr>
        <w:rPr>
          <w:rFonts w:ascii="Calibri" w:eastAsia="Calibri" w:hAnsi="Calibri" w:cs="Calibri"/>
          <w:color w:val="000080"/>
          <w:sz w:val="28"/>
          <w:szCs w:val="28"/>
        </w:rPr>
      </w:pPr>
      <w:r>
        <w:rPr>
          <w:rFonts w:ascii="Calibri" w:eastAsia="Calibri" w:hAnsi="Calibri" w:cs="Calibri"/>
          <w:b/>
          <w:sz w:val="24"/>
          <w:szCs w:val="24"/>
        </w:rPr>
        <w:t xml:space="preserve">                          </w:t>
      </w:r>
      <w:r>
        <w:rPr>
          <w:rFonts w:ascii="Calibri" w:eastAsia="Calibri" w:hAnsi="Calibri" w:cs="Calibri"/>
          <w:b/>
          <w:sz w:val="28"/>
          <w:szCs w:val="28"/>
        </w:rPr>
        <w:t xml:space="preserve">  </w:t>
      </w:r>
      <w:r>
        <w:rPr>
          <w:rFonts w:ascii="Calibri" w:eastAsia="Calibri" w:hAnsi="Calibri" w:cs="Calibri"/>
          <w:color w:val="000080"/>
          <w:sz w:val="28"/>
          <w:szCs w:val="28"/>
        </w:rPr>
        <w:t>Being Boys: Social Constructions of Boyhood in Fiji</w:t>
      </w:r>
    </w:p>
    <w:p w14:paraId="235C5444" w14:textId="77777777" w:rsidR="006A013B" w:rsidRDefault="006A013B">
      <w:pPr>
        <w:ind w:left="2160"/>
        <w:jc w:val="center"/>
        <w:rPr>
          <w:rFonts w:ascii="Calibri" w:eastAsia="Calibri" w:hAnsi="Calibri" w:cs="Calibri"/>
          <w:b/>
        </w:rPr>
      </w:pPr>
    </w:p>
    <w:p w14:paraId="2819718C" w14:textId="77777777" w:rsidR="006A013B" w:rsidRDefault="006A013B">
      <w:pPr>
        <w:ind w:firstLine="720"/>
        <w:jc w:val="center"/>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6A013B" w14:paraId="3F4BC71E" w14:textId="77777777">
        <w:trPr>
          <w:trHeight w:val="2506"/>
        </w:trPr>
        <w:tc>
          <w:tcPr>
            <w:tcW w:w="10515" w:type="dxa"/>
            <w:shd w:val="clear" w:color="auto" w:fill="D9D9D9"/>
          </w:tcPr>
          <w:p w14:paraId="7325CE37" w14:textId="77777777" w:rsidR="006A013B" w:rsidRDefault="00000000">
            <w:pPr>
              <w:widowControl w:val="0"/>
              <w:numPr>
                <w:ilvl w:val="0"/>
                <w:numId w:val="1"/>
              </w:numPr>
              <w:spacing w:line="360" w:lineRule="auto"/>
              <w:ind w:left="720"/>
              <w:rPr>
                <w:rFonts w:ascii="Calibri" w:eastAsia="Calibri" w:hAnsi="Calibri" w:cs="Calibri"/>
              </w:rPr>
            </w:pPr>
            <w:r>
              <w:rPr>
                <w:rFonts w:ascii="Calibri" w:eastAsia="Calibri" w:hAnsi="Calibri" w:cs="Calibri"/>
              </w:rPr>
              <w:t xml:space="preserve">Fijian boys' </w:t>
            </w:r>
            <w:proofErr w:type="spellStart"/>
            <w:r>
              <w:rPr>
                <w:rFonts w:ascii="Calibri" w:eastAsia="Calibri" w:hAnsi="Calibri" w:cs="Calibri"/>
              </w:rPr>
              <w:t>lifeworlds</w:t>
            </w:r>
            <w:proofErr w:type="spellEnd"/>
            <w:r>
              <w:rPr>
                <w:rFonts w:ascii="Calibri" w:eastAsia="Calibri" w:hAnsi="Calibri" w:cs="Calibri"/>
              </w:rPr>
              <w:t xml:space="preserve"> and experiences provide insight into the cultural and gender landscape.</w:t>
            </w:r>
          </w:p>
          <w:p w14:paraId="0C650354" w14:textId="77777777" w:rsidR="006A013B" w:rsidRDefault="00000000">
            <w:pPr>
              <w:widowControl w:val="0"/>
              <w:numPr>
                <w:ilvl w:val="0"/>
                <w:numId w:val="1"/>
              </w:numPr>
              <w:spacing w:line="360" w:lineRule="auto"/>
              <w:ind w:left="720"/>
              <w:rPr>
                <w:rFonts w:ascii="Calibri" w:eastAsia="Calibri" w:hAnsi="Calibri" w:cs="Calibri"/>
              </w:rPr>
            </w:pPr>
            <w:r>
              <w:rPr>
                <w:rFonts w:ascii="Calibri" w:eastAsia="Calibri" w:hAnsi="Calibri" w:cs="Calibri"/>
              </w:rPr>
              <w:t>This research explores how boys construct and express their identities, examining the impact of social factors, institutions, and cultural conditions.</w:t>
            </w:r>
          </w:p>
          <w:p w14:paraId="1A3D5DFF" w14:textId="77777777" w:rsidR="006A013B" w:rsidRDefault="00000000">
            <w:pPr>
              <w:widowControl w:val="0"/>
              <w:numPr>
                <w:ilvl w:val="0"/>
                <w:numId w:val="1"/>
              </w:numPr>
              <w:spacing w:line="360" w:lineRule="auto"/>
              <w:ind w:left="720"/>
              <w:rPr>
                <w:rFonts w:ascii="Calibri" w:eastAsia="Calibri" w:hAnsi="Calibri" w:cs="Calibri"/>
              </w:rPr>
            </w:pPr>
            <w:r>
              <w:rPr>
                <w:rFonts w:ascii="Calibri" w:eastAsia="Calibri" w:hAnsi="Calibri" w:cs="Calibri"/>
              </w:rPr>
              <w:t>Programs can be implemented to enhance boys' emotional literacy, well-being, and mental health. This includes expanding their vocabulary for expressing emotions and empowering them to confidently embrace non-hegemonic masculinities.</w:t>
            </w:r>
          </w:p>
        </w:tc>
      </w:tr>
    </w:tbl>
    <w:p w14:paraId="5922AEAD" w14:textId="77777777" w:rsidR="006A013B" w:rsidRDefault="00000000">
      <w:pPr>
        <w:pStyle w:val="Heading1"/>
        <w:spacing w:before="480" w:after="0" w:line="276" w:lineRule="auto"/>
        <w:ind w:left="-15" w:hanging="551"/>
        <w:jc w:val="left"/>
        <w:rPr>
          <w:rFonts w:ascii="Calibri" w:eastAsia="Calibri" w:hAnsi="Calibri" w:cs="Calibri"/>
          <w:i/>
          <w:color w:val="006600"/>
          <w:sz w:val="22"/>
        </w:rPr>
        <w:sectPr w:rsidR="006A013B">
          <w:type w:val="continuous"/>
          <w:pgSz w:w="11907" w:h="16840"/>
          <w:pgMar w:top="1418" w:right="1418" w:bottom="1276" w:left="1418" w:header="135" w:footer="397" w:gutter="0"/>
          <w:cols w:space="720"/>
          <w:titlePg/>
        </w:sectPr>
      </w:pPr>
      <w:bookmarkStart w:id="0" w:name="_heading=h.m3xu3i5k1m1c" w:colFirst="0" w:colLast="0"/>
      <w:bookmarkEnd w:id="0"/>
      <w:r>
        <w:rPr>
          <w:rFonts w:ascii="Calibri" w:eastAsia="Calibri" w:hAnsi="Calibri" w:cs="Calibri"/>
          <w:color w:val="006600"/>
          <w:sz w:val="22"/>
        </w:rPr>
        <w:t>Overview</w:t>
      </w:r>
      <w:r>
        <w:rPr>
          <w:noProof/>
        </w:rPr>
        <mc:AlternateContent>
          <mc:Choice Requires="wps">
            <w:drawing>
              <wp:anchor distT="0" distB="0" distL="114300" distR="114300" simplePos="0" relativeHeight="251658240" behindDoc="0" locked="0" layoutInCell="1" hidden="0" allowOverlap="1" wp14:anchorId="1BC11DB9" wp14:editId="5A9DFA2D">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25" cy="12700"/>
                <wp:effectExtent b="0" l="0" r="0" t="0"/>
                <wp:wrapNone/>
                <wp:docPr id="126226095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14:paraId="22940874"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Formulating an understanding of gender and its significance in society occurs initially in childhood (</w:t>
      </w:r>
      <w:proofErr w:type="spellStart"/>
      <w:r>
        <w:rPr>
          <w:rFonts w:ascii="Calibri" w:eastAsia="Calibri" w:hAnsi="Calibri" w:cs="Calibri"/>
        </w:rPr>
        <w:t>Paechter</w:t>
      </w:r>
      <w:proofErr w:type="spellEnd"/>
      <w:r>
        <w:rPr>
          <w:rFonts w:ascii="Calibri" w:eastAsia="Calibri" w:hAnsi="Calibri" w:cs="Calibri"/>
        </w:rPr>
        <w:t xml:space="preserve">, 2007). Children draw on their social world to understand their role, position and gender appropriate </w:t>
      </w:r>
      <w:proofErr w:type="spellStart"/>
      <w:r>
        <w:rPr>
          <w:rFonts w:ascii="Calibri" w:eastAsia="Calibri" w:hAnsi="Calibri" w:cs="Calibri"/>
        </w:rPr>
        <w:t>behavior</w:t>
      </w:r>
      <w:proofErr w:type="spellEnd"/>
      <w:r>
        <w:rPr>
          <w:rFonts w:ascii="Calibri" w:eastAsia="Calibri" w:hAnsi="Calibri" w:cs="Calibri"/>
        </w:rPr>
        <w:t xml:space="preserve"> (</w:t>
      </w:r>
      <w:proofErr w:type="spellStart"/>
      <w:r>
        <w:rPr>
          <w:rFonts w:ascii="Calibri" w:eastAsia="Calibri" w:hAnsi="Calibri" w:cs="Calibri"/>
        </w:rPr>
        <w:t>Paechter</w:t>
      </w:r>
      <w:proofErr w:type="spellEnd"/>
      <w:r>
        <w:rPr>
          <w:rFonts w:ascii="Calibri" w:eastAsia="Calibri" w:hAnsi="Calibri" w:cs="Calibri"/>
        </w:rPr>
        <w:t xml:space="preserve">, 2007; </w:t>
      </w:r>
      <w:proofErr w:type="spellStart"/>
      <w:r>
        <w:rPr>
          <w:rFonts w:ascii="Calibri" w:eastAsia="Calibri" w:hAnsi="Calibri" w:cs="Calibri"/>
        </w:rPr>
        <w:t>Reigeluth</w:t>
      </w:r>
      <w:proofErr w:type="spellEnd"/>
      <w:r>
        <w:rPr>
          <w:rFonts w:ascii="Calibri" w:eastAsia="Calibri" w:hAnsi="Calibri" w:cs="Calibri"/>
        </w:rPr>
        <w:t xml:space="preserve"> &amp; Addis, 2016; Mac an </w:t>
      </w:r>
      <w:proofErr w:type="spellStart"/>
      <w:r>
        <w:rPr>
          <w:rFonts w:ascii="Calibri" w:eastAsia="Calibri" w:hAnsi="Calibri" w:cs="Calibri"/>
        </w:rPr>
        <w:t>Ghaill</w:t>
      </w:r>
      <w:proofErr w:type="spellEnd"/>
      <w:r>
        <w:rPr>
          <w:rFonts w:ascii="Calibri" w:eastAsia="Calibri" w:hAnsi="Calibri" w:cs="Calibri"/>
        </w:rPr>
        <w:t xml:space="preserve">, 1994). This learning continues and evolves through to adolescence. Young people construct their identities through their understanding of accepted standards of masculinity, interactions with their peers, and their individual agency. Negotiation and renegotiation of gender norms are evident in their gender performances. </w:t>
      </w:r>
    </w:p>
    <w:p w14:paraId="2415094F" w14:textId="77777777" w:rsidR="006A013B" w:rsidRDefault="00000000">
      <w:pPr>
        <w:spacing w:before="200" w:line="276" w:lineRule="auto"/>
        <w:ind w:left="-15"/>
        <w:jc w:val="both"/>
        <w:rPr>
          <w:rFonts w:ascii="Calibri" w:eastAsia="Calibri" w:hAnsi="Calibri" w:cs="Calibri"/>
          <w:i/>
          <w:color w:val="800080"/>
        </w:rPr>
      </w:pPr>
      <w:r>
        <w:rPr>
          <w:rFonts w:ascii="Calibri" w:eastAsia="Calibri" w:hAnsi="Calibri" w:cs="Calibri"/>
        </w:rPr>
        <w:t xml:space="preserve">Boys are implicated in a multitude of social problems in Fiji. These include but are not limited to substance abuse and drug peddling, bullying, school </w:t>
      </w:r>
      <w:proofErr w:type="gramStart"/>
      <w:r>
        <w:rPr>
          <w:rFonts w:ascii="Calibri" w:eastAsia="Calibri" w:hAnsi="Calibri" w:cs="Calibri"/>
        </w:rPr>
        <w:t>drop outs</w:t>
      </w:r>
      <w:proofErr w:type="gramEnd"/>
      <w:r>
        <w:rPr>
          <w:rFonts w:ascii="Calibri" w:eastAsia="Calibri" w:hAnsi="Calibri" w:cs="Calibri"/>
        </w:rPr>
        <w:t>, truancy, violence and suicide. Suicide statistics and  trends for instance, indicate higher rates of suicides amongst men compared to women and suicide rates for males between 16-25 are higher than older groups (</w:t>
      </w:r>
      <w:proofErr w:type="spellStart"/>
      <w:r>
        <w:rPr>
          <w:rFonts w:ascii="Calibri" w:eastAsia="Calibri" w:hAnsi="Calibri" w:cs="Calibri"/>
        </w:rPr>
        <w:t>Korobiau</w:t>
      </w:r>
      <w:proofErr w:type="spellEnd"/>
      <w:r>
        <w:rPr>
          <w:rFonts w:ascii="Calibri" w:eastAsia="Calibri" w:hAnsi="Calibri" w:cs="Calibri"/>
        </w:rPr>
        <w:t>, 2024).</w:t>
      </w:r>
    </w:p>
    <w:tbl>
      <w:tblPr>
        <w:tblStyle w:val="a0"/>
        <w:tblW w:w="5145" w:type="dxa"/>
        <w:tblInd w:w="-45" w:type="dxa"/>
        <w:tblLayout w:type="fixed"/>
        <w:tblLook w:val="0000" w:firstRow="0" w:lastRow="0" w:firstColumn="0" w:lastColumn="0" w:noHBand="0" w:noVBand="0"/>
      </w:tblPr>
      <w:tblGrid>
        <w:gridCol w:w="5145"/>
      </w:tblGrid>
      <w:tr w:rsidR="006A013B" w14:paraId="0A45AE49" w14:textId="77777777">
        <w:trPr>
          <w:trHeight w:val="80"/>
        </w:trPr>
        <w:tc>
          <w:tcPr>
            <w:tcW w:w="5145" w:type="dxa"/>
          </w:tcPr>
          <w:p w14:paraId="5612D3E5" w14:textId="77777777" w:rsidR="006A013B" w:rsidRDefault="006A013B">
            <w:pPr>
              <w:spacing w:before="200" w:line="276" w:lineRule="auto"/>
              <w:ind w:left="-15"/>
              <w:jc w:val="both"/>
              <w:rPr>
                <w:rFonts w:ascii="Calibri" w:eastAsia="Calibri" w:hAnsi="Calibri" w:cs="Calibri"/>
              </w:rPr>
            </w:pPr>
          </w:p>
          <w:p w14:paraId="2B57DAE0"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According to data from Lifeline Fiji, 24 men and 4 women committed suicide between January to April 2024. Incidents of bullying in school are also on the rise with 8000 reported cases between 2021 and 2023. While gender segregated data on the issue are unavailable, there have been circulation of videos and media reports of violent bullying incidents in </w:t>
            </w:r>
            <w:proofErr w:type="gramStart"/>
            <w:r>
              <w:rPr>
                <w:rFonts w:ascii="Calibri" w:eastAsia="Calibri" w:hAnsi="Calibri" w:cs="Calibri"/>
              </w:rPr>
              <w:t>boys</w:t>
            </w:r>
            <w:proofErr w:type="gramEnd"/>
            <w:r>
              <w:rPr>
                <w:rFonts w:ascii="Calibri" w:eastAsia="Calibri" w:hAnsi="Calibri" w:cs="Calibri"/>
              </w:rPr>
              <w:t xml:space="preserve"> schools</w:t>
            </w:r>
            <w:r>
              <w:rPr>
                <w:rFonts w:ascii="Calibri" w:eastAsia="Calibri" w:hAnsi="Calibri" w:cs="Calibri"/>
                <w:highlight w:val="white"/>
              </w:rPr>
              <w:t xml:space="preserve"> (Chanel, 2020; </w:t>
            </w:r>
            <w:proofErr w:type="spellStart"/>
            <w:r>
              <w:rPr>
                <w:rFonts w:ascii="Calibri" w:eastAsia="Calibri" w:hAnsi="Calibri" w:cs="Calibri"/>
                <w:highlight w:val="white"/>
              </w:rPr>
              <w:t>Necei</w:t>
            </w:r>
            <w:proofErr w:type="spellEnd"/>
            <w:r>
              <w:rPr>
                <w:rFonts w:ascii="Calibri" w:eastAsia="Calibri" w:hAnsi="Calibri" w:cs="Calibri"/>
                <w:highlight w:val="white"/>
              </w:rPr>
              <w:t xml:space="preserve">, 2019). </w:t>
            </w:r>
          </w:p>
          <w:p w14:paraId="64747F51" w14:textId="77777777" w:rsidR="006A013B" w:rsidRDefault="00000000">
            <w:pPr>
              <w:spacing w:before="200" w:line="276" w:lineRule="auto"/>
              <w:ind w:left="-15"/>
              <w:jc w:val="both"/>
              <w:rPr>
                <w:rFonts w:ascii="Calibri" w:eastAsia="Calibri" w:hAnsi="Calibri" w:cs="Calibri"/>
              </w:rPr>
            </w:pPr>
            <w:proofErr w:type="gramStart"/>
            <w:r>
              <w:rPr>
                <w:rFonts w:ascii="Calibri" w:eastAsia="Calibri" w:hAnsi="Calibri" w:cs="Calibri"/>
                <w:highlight w:val="white"/>
              </w:rPr>
              <w:t>The Substance Abuse Advisory Council,</w:t>
            </w:r>
            <w:proofErr w:type="gramEnd"/>
            <w:r>
              <w:rPr>
                <w:rFonts w:ascii="Calibri" w:eastAsia="Calibri" w:hAnsi="Calibri" w:cs="Calibri"/>
                <w:highlight w:val="white"/>
              </w:rPr>
              <w:t xml:space="preserve"> reported cases of drug use by school students have been steadily increasing. In 2021 there were 2200 recorded cases compared to 3500 in 2023 (Kumar, 2024).</w:t>
            </w:r>
            <w:r>
              <w:rPr>
                <w:rFonts w:ascii="Calibri" w:eastAsia="Calibri" w:hAnsi="Calibri" w:cs="Calibri"/>
              </w:rPr>
              <w:t xml:space="preserve"> </w:t>
            </w:r>
            <w:r>
              <w:rPr>
                <w:rFonts w:ascii="Calibri" w:eastAsia="Calibri" w:hAnsi="Calibri" w:cs="Calibri"/>
                <w:highlight w:val="white"/>
              </w:rPr>
              <w:t>In regard to education s</w:t>
            </w:r>
            <w:r>
              <w:rPr>
                <w:rFonts w:ascii="Calibri" w:eastAsia="Calibri" w:hAnsi="Calibri" w:cs="Calibri"/>
              </w:rPr>
              <w:t xml:space="preserve">chool </w:t>
            </w:r>
            <w:proofErr w:type="spellStart"/>
            <w:r>
              <w:rPr>
                <w:rFonts w:ascii="Calibri" w:eastAsia="Calibri" w:hAnsi="Calibri" w:cs="Calibri"/>
              </w:rPr>
              <w:t>enrollment</w:t>
            </w:r>
            <w:proofErr w:type="spellEnd"/>
            <w:r>
              <w:rPr>
                <w:rFonts w:ascii="Calibri" w:eastAsia="Calibri" w:hAnsi="Calibri" w:cs="Calibri"/>
              </w:rPr>
              <w:t xml:space="preserve"> statistics from 2015 - 2017 show that more males than females were enrolled in primary </w:t>
            </w:r>
            <w:proofErr w:type="gramStart"/>
            <w:r>
              <w:rPr>
                <w:rFonts w:ascii="Calibri" w:eastAsia="Calibri" w:hAnsi="Calibri" w:cs="Calibri"/>
              </w:rPr>
              <w:t>school</w:t>
            </w:r>
            <w:proofErr w:type="gramEnd"/>
            <w:r>
              <w:rPr>
                <w:rFonts w:ascii="Calibri" w:eastAsia="Calibri" w:hAnsi="Calibri" w:cs="Calibri"/>
              </w:rPr>
              <w:t xml:space="preserve"> but the latter were more likely to complete secondary schooling (Fiji Bureau of Statistics, 2017). Tables 1 and 2 below display the gender comparison of secondary school completion rates and higher education </w:t>
            </w:r>
            <w:proofErr w:type="spellStart"/>
            <w:r>
              <w:rPr>
                <w:rFonts w:ascii="Calibri" w:eastAsia="Calibri" w:hAnsi="Calibri" w:cs="Calibri"/>
              </w:rPr>
              <w:t>enrollment</w:t>
            </w:r>
            <w:proofErr w:type="spellEnd"/>
            <w:r>
              <w:rPr>
                <w:rFonts w:ascii="Calibri" w:eastAsia="Calibri" w:hAnsi="Calibri" w:cs="Calibri"/>
              </w:rPr>
              <w:t xml:space="preserve"> rates in Fiji for 2022.</w:t>
            </w:r>
          </w:p>
          <w:p w14:paraId="64452C40" w14:textId="77777777" w:rsidR="006A013B" w:rsidRDefault="006A013B">
            <w:pPr>
              <w:spacing w:before="200" w:line="276" w:lineRule="auto"/>
              <w:ind w:left="-15"/>
              <w:jc w:val="both"/>
              <w:rPr>
                <w:rFonts w:ascii="Calibri" w:eastAsia="Calibri" w:hAnsi="Calibri" w:cs="Calibri"/>
                <w:b/>
              </w:rPr>
            </w:pPr>
          </w:p>
          <w:p w14:paraId="4CBF8DAF" w14:textId="77777777" w:rsidR="006A013B" w:rsidRDefault="006A013B">
            <w:pPr>
              <w:spacing w:before="200" w:line="276" w:lineRule="auto"/>
              <w:ind w:left="-15"/>
              <w:jc w:val="both"/>
              <w:rPr>
                <w:rFonts w:ascii="Calibri" w:eastAsia="Calibri" w:hAnsi="Calibri" w:cs="Calibri"/>
                <w:b/>
              </w:rPr>
            </w:pPr>
          </w:p>
          <w:p w14:paraId="17185383" w14:textId="77777777" w:rsidR="001E0D8E" w:rsidRDefault="001E0D8E">
            <w:pPr>
              <w:spacing w:before="200" w:line="276" w:lineRule="auto"/>
              <w:ind w:left="-15"/>
              <w:jc w:val="both"/>
              <w:rPr>
                <w:rFonts w:ascii="Calibri" w:eastAsia="Calibri" w:hAnsi="Calibri" w:cs="Calibri"/>
                <w:b/>
              </w:rPr>
            </w:pPr>
          </w:p>
          <w:p w14:paraId="6BAB44C5" w14:textId="77777777" w:rsidR="006A013B" w:rsidRDefault="00000000">
            <w:pPr>
              <w:spacing w:before="200" w:line="276" w:lineRule="auto"/>
              <w:ind w:left="-15"/>
              <w:jc w:val="both"/>
              <w:rPr>
                <w:rFonts w:ascii="Calibri" w:eastAsia="Calibri" w:hAnsi="Calibri" w:cs="Calibri"/>
                <w:color w:val="000000"/>
              </w:rPr>
            </w:pPr>
            <w:r>
              <w:rPr>
                <w:rFonts w:ascii="Calibri" w:eastAsia="Calibri" w:hAnsi="Calibri" w:cs="Calibri"/>
              </w:rPr>
              <w:lastRenderedPageBreak/>
              <w:t xml:space="preserve">Table 1: </w:t>
            </w:r>
            <w:r>
              <w:rPr>
                <w:rFonts w:ascii="Calibri" w:eastAsia="Calibri" w:hAnsi="Calibri" w:cs="Calibri"/>
                <w:color w:val="000000"/>
              </w:rPr>
              <w:t>High School Completion Rates 2022</w:t>
            </w:r>
          </w:p>
          <w:tbl>
            <w:tblPr>
              <w:tblStyle w:val="a1"/>
              <w:tblW w:w="4410" w:type="dxa"/>
              <w:tblBorders>
                <w:top w:val="nil"/>
                <w:left w:val="nil"/>
                <w:bottom w:val="nil"/>
                <w:right w:val="nil"/>
                <w:insideH w:val="nil"/>
                <w:insideV w:val="nil"/>
              </w:tblBorders>
              <w:tblLayout w:type="fixed"/>
              <w:tblLook w:val="0600" w:firstRow="0" w:lastRow="0" w:firstColumn="0" w:lastColumn="0" w:noHBand="1" w:noVBand="1"/>
            </w:tblPr>
            <w:tblGrid>
              <w:gridCol w:w="1170"/>
              <w:gridCol w:w="3240"/>
            </w:tblGrid>
            <w:tr w:rsidR="006A013B" w14:paraId="672E94FC" w14:textId="77777777">
              <w:trPr>
                <w:trHeight w:val="500"/>
              </w:trPr>
              <w:tc>
                <w:tcPr>
                  <w:tcW w:w="1170" w:type="dxa"/>
                  <w:tcBorders>
                    <w:top w:val="nil"/>
                    <w:left w:val="nil"/>
                    <w:bottom w:val="nil"/>
                    <w:right w:val="nil"/>
                  </w:tcBorders>
                  <w:shd w:val="clear" w:color="auto" w:fill="CFE2F3"/>
                  <w:tcMar>
                    <w:top w:w="100" w:type="dxa"/>
                    <w:left w:w="100" w:type="dxa"/>
                    <w:bottom w:w="100" w:type="dxa"/>
                    <w:right w:w="100" w:type="dxa"/>
                  </w:tcMar>
                </w:tcPr>
                <w:p w14:paraId="247A1D5F"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b/>
                    </w:rPr>
                    <w:t>Category</w:t>
                  </w:r>
                </w:p>
              </w:tc>
              <w:tc>
                <w:tcPr>
                  <w:tcW w:w="3240" w:type="dxa"/>
                  <w:tcBorders>
                    <w:top w:val="nil"/>
                    <w:left w:val="nil"/>
                    <w:bottom w:val="nil"/>
                    <w:right w:val="nil"/>
                  </w:tcBorders>
                  <w:shd w:val="clear" w:color="auto" w:fill="CFE2F3"/>
                  <w:tcMar>
                    <w:top w:w="100" w:type="dxa"/>
                    <w:left w:w="100" w:type="dxa"/>
                    <w:bottom w:w="100" w:type="dxa"/>
                    <w:right w:w="100" w:type="dxa"/>
                  </w:tcMar>
                </w:tcPr>
                <w:p w14:paraId="7BC59D40"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b/>
                    </w:rPr>
                    <w:t>Completion Rate (%)</w:t>
                  </w:r>
                </w:p>
              </w:tc>
            </w:tr>
            <w:tr w:rsidR="006A013B" w14:paraId="5AFDE2A0" w14:textId="77777777">
              <w:trPr>
                <w:trHeight w:val="500"/>
              </w:trPr>
              <w:tc>
                <w:tcPr>
                  <w:tcW w:w="1170" w:type="dxa"/>
                  <w:tcBorders>
                    <w:top w:val="nil"/>
                    <w:left w:val="nil"/>
                    <w:bottom w:val="nil"/>
                    <w:right w:val="nil"/>
                  </w:tcBorders>
                  <w:shd w:val="clear" w:color="auto" w:fill="D9D9D9"/>
                  <w:tcMar>
                    <w:top w:w="100" w:type="dxa"/>
                    <w:left w:w="100" w:type="dxa"/>
                    <w:bottom w:w="100" w:type="dxa"/>
                    <w:right w:w="100" w:type="dxa"/>
                  </w:tcMar>
                </w:tcPr>
                <w:p w14:paraId="011687C1"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rPr>
                    <w:t>Female</w:t>
                  </w:r>
                </w:p>
              </w:tc>
              <w:tc>
                <w:tcPr>
                  <w:tcW w:w="3240" w:type="dxa"/>
                  <w:tcBorders>
                    <w:top w:val="nil"/>
                    <w:left w:val="nil"/>
                    <w:bottom w:val="nil"/>
                    <w:right w:val="nil"/>
                  </w:tcBorders>
                  <w:shd w:val="clear" w:color="auto" w:fill="D9D9D9"/>
                  <w:tcMar>
                    <w:top w:w="100" w:type="dxa"/>
                    <w:left w:w="100" w:type="dxa"/>
                    <w:bottom w:w="100" w:type="dxa"/>
                    <w:right w:w="100" w:type="dxa"/>
                  </w:tcMar>
                </w:tcPr>
                <w:p w14:paraId="5862A26C"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rPr>
                    <w:t>97</w:t>
                  </w:r>
                </w:p>
              </w:tc>
            </w:tr>
            <w:tr w:rsidR="006A013B" w14:paraId="577DEB06" w14:textId="77777777">
              <w:trPr>
                <w:trHeight w:val="583"/>
              </w:trPr>
              <w:tc>
                <w:tcPr>
                  <w:tcW w:w="1170" w:type="dxa"/>
                  <w:tcBorders>
                    <w:top w:val="nil"/>
                    <w:left w:val="nil"/>
                    <w:bottom w:val="nil"/>
                    <w:right w:val="nil"/>
                  </w:tcBorders>
                  <w:shd w:val="clear" w:color="auto" w:fill="D9D9D9"/>
                  <w:tcMar>
                    <w:top w:w="100" w:type="dxa"/>
                    <w:left w:w="100" w:type="dxa"/>
                    <w:bottom w:w="100" w:type="dxa"/>
                    <w:right w:w="100" w:type="dxa"/>
                  </w:tcMar>
                </w:tcPr>
                <w:p w14:paraId="58EBEDD0" w14:textId="77777777" w:rsidR="006A013B" w:rsidRDefault="00000000">
                  <w:pPr>
                    <w:spacing w:before="200" w:line="276" w:lineRule="auto"/>
                    <w:ind w:left="-15"/>
                    <w:rPr>
                      <w:rFonts w:ascii="Calibri" w:eastAsia="Calibri" w:hAnsi="Calibri" w:cs="Calibri"/>
                    </w:rPr>
                  </w:pPr>
                  <w:r>
                    <w:rPr>
                      <w:rFonts w:ascii="Calibri" w:eastAsia="Calibri" w:hAnsi="Calibri" w:cs="Calibri"/>
                    </w:rPr>
                    <w:t xml:space="preserve">   Male</w:t>
                  </w:r>
                </w:p>
              </w:tc>
              <w:tc>
                <w:tcPr>
                  <w:tcW w:w="3240" w:type="dxa"/>
                  <w:tcBorders>
                    <w:top w:val="nil"/>
                    <w:left w:val="nil"/>
                    <w:bottom w:val="nil"/>
                    <w:right w:val="nil"/>
                  </w:tcBorders>
                  <w:shd w:val="clear" w:color="auto" w:fill="D9D9D9"/>
                  <w:tcMar>
                    <w:top w:w="100" w:type="dxa"/>
                    <w:left w:w="100" w:type="dxa"/>
                    <w:bottom w:w="100" w:type="dxa"/>
                    <w:right w:w="100" w:type="dxa"/>
                  </w:tcMar>
                </w:tcPr>
                <w:p w14:paraId="6E0F2EA9"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rPr>
                    <w:t>79</w:t>
                  </w:r>
                </w:p>
              </w:tc>
            </w:tr>
          </w:tbl>
          <w:p w14:paraId="14AE3919" w14:textId="77777777" w:rsidR="006A013B" w:rsidRDefault="006A013B">
            <w:pPr>
              <w:rPr>
                <w:rFonts w:ascii="Calibri" w:eastAsia="Calibri" w:hAnsi="Calibri" w:cs="Calibri"/>
                <w:b/>
              </w:rPr>
            </w:pPr>
          </w:p>
          <w:p w14:paraId="7AD1277B" w14:textId="77777777" w:rsidR="006A013B" w:rsidRDefault="00000000">
            <w:pPr>
              <w:pStyle w:val="Heading3"/>
              <w:spacing w:before="280" w:after="80"/>
              <w:ind w:left="-15"/>
              <w:jc w:val="both"/>
              <w:rPr>
                <w:rFonts w:ascii="Calibri" w:eastAsia="Calibri" w:hAnsi="Calibri" w:cs="Calibri"/>
                <w:b w:val="0"/>
                <w:color w:val="000000"/>
                <w:sz w:val="22"/>
              </w:rPr>
            </w:pPr>
            <w:bookmarkStart w:id="1" w:name="_heading=h.489je36itcgp" w:colFirst="0" w:colLast="0"/>
            <w:bookmarkEnd w:id="1"/>
            <w:r>
              <w:rPr>
                <w:rFonts w:ascii="Calibri" w:eastAsia="Calibri" w:hAnsi="Calibri" w:cs="Calibri"/>
                <w:b w:val="0"/>
                <w:color w:val="000000"/>
                <w:sz w:val="22"/>
              </w:rPr>
              <w:t xml:space="preserve">Table 2 : Higher Education </w:t>
            </w:r>
            <w:proofErr w:type="spellStart"/>
            <w:r>
              <w:rPr>
                <w:rFonts w:ascii="Calibri" w:eastAsia="Calibri" w:hAnsi="Calibri" w:cs="Calibri"/>
                <w:b w:val="0"/>
                <w:color w:val="000000"/>
                <w:sz w:val="22"/>
              </w:rPr>
              <w:t>Enrollment</w:t>
            </w:r>
            <w:proofErr w:type="spellEnd"/>
            <w:r>
              <w:rPr>
                <w:rFonts w:ascii="Calibri" w:eastAsia="Calibri" w:hAnsi="Calibri" w:cs="Calibri"/>
                <w:b w:val="0"/>
                <w:color w:val="000000"/>
                <w:sz w:val="22"/>
              </w:rPr>
              <w:t xml:space="preserve"> 2022</w:t>
            </w:r>
          </w:p>
          <w:tbl>
            <w:tblPr>
              <w:tblStyle w:val="a2"/>
              <w:tblW w:w="4455" w:type="dxa"/>
              <w:tblBorders>
                <w:top w:val="nil"/>
                <w:left w:val="nil"/>
                <w:bottom w:val="nil"/>
                <w:right w:val="nil"/>
                <w:insideH w:val="nil"/>
                <w:insideV w:val="nil"/>
              </w:tblBorders>
              <w:tblLayout w:type="fixed"/>
              <w:tblLook w:val="0600" w:firstRow="0" w:lastRow="0" w:firstColumn="0" w:lastColumn="0" w:noHBand="1" w:noVBand="1"/>
            </w:tblPr>
            <w:tblGrid>
              <w:gridCol w:w="1110"/>
              <w:gridCol w:w="3345"/>
            </w:tblGrid>
            <w:tr w:rsidR="006A013B" w14:paraId="6EBE490F" w14:textId="77777777">
              <w:trPr>
                <w:trHeight w:val="500"/>
              </w:trPr>
              <w:tc>
                <w:tcPr>
                  <w:tcW w:w="1110" w:type="dxa"/>
                  <w:tcBorders>
                    <w:top w:val="nil"/>
                    <w:left w:val="nil"/>
                    <w:bottom w:val="nil"/>
                    <w:right w:val="nil"/>
                  </w:tcBorders>
                  <w:shd w:val="clear" w:color="auto" w:fill="CFE2F3"/>
                  <w:tcMar>
                    <w:top w:w="100" w:type="dxa"/>
                    <w:left w:w="100" w:type="dxa"/>
                    <w:bottom w:w="100" w:type="dxa"/>
                    <w:right w:w="100" w:type="dxa"/>
                  </w:tcMar>
                </w:tcPr>
                <w:p w14:paraId="44E48AC0" w14:textId="77777777" w:rsidR="006A013B" w:rsidRDefault="00000000">
                  <w:pPr>
                    <w:spacing w:before="200" w:line="276" w:lineRule="auto"/>
                    <w:ind w:left="-15"/>
                    <w:rPr>
                      <w:rFonts w:ascii="Calibri" w:eastAsia="Calibri" w:hAnsi="Calibri" w:cs="Calibri"/>
                    </w:rPr>
                  </w:pPr>
                  <w:r>
                    <w:rPr>
                      <w:rFonts w:ascii="Calibri" w:eastAsia="Calibri" w:hAnsi="Calibri" w:cs="Calibri"/>
                      <w:b/>
                    </w:rPr>
                    <w:t xml:space="preserve"> Gender</w:t>
                  </w:r>
                </w:p>
              </w:tc>
              <w:tc>
                <w:tcPr>
                  <w:tcW w:w="3345" w:type="dxa"/>
                  <w:tcBorders>
                    <w:top w:val="nil"/>
                    <w:left w:val="nil"/>
                    <w:bottom w:val="nil"/>
                    <w:right w:val="nil"/>
                  </w:tcBorders>
                  <w:shd w:val="clear" w:color="auto" w:fill="CFE2F3"/>
                  <w:tcMar>
                    <w:top w:w="100" w:type="dxa"/>
                    <w:left w:w="100" w:type="dxa"/>
                    <w:bottom w:w="100" w:type="dxa"/>
                    <w:right w:w="100" w:type="dxa"/>
                  </w:tcMar>
                </w:tcPr>
                <w:p w14:paraId="0EABC557" w14:textId="77777777" w:rsidR="006A013B" w:rsidRDefault="00000000">
                  <w:pPr>
                    <w:spacing w:before="200" w:line="276" w:lineRule="auto"/>
                    <w:ind w:left="-15"/>
                    <w:jc w:val="center"/>
                    <w:rPr>
                      <w:rFonts w:ascii="Calibri" w:eastAsia="Calibri" w:hAnsi="Calibri" w:cs="Calibri"/>
                    </w:rPr>
                  </w:pPr>
                  <w:proofErr w:type="spellStart"/>
                  <w:r>
                    <w:rPr>
                      <w:rFonts w:ascii="Calibri" w:eastAsia="Calibri" w:hAnsi="Calibri" w:cs="Calibri"/>
                      <w:b/>
                    </w:rPr>
                    <w:t>Enrollment</w:t>
                  </w:r>
                  <w:proofErr w:type="spellEnd"/>
                  <w:r>
                    <w:rPr>
                      <w:rFonts w:ascii="Calibri" w:eastAsia="Calibri" w:hAnsi="Calibri" w:cs="Calibri"/>
                      <w:b/>
                    </w:rPr>
                    <w:t xml:space="preserve"> Percentage (%)</w:t>
                  </w:r>
                </w:p>
              </w:tc>
            </w:tr>
            <w:tr w:rsidR="006A013B" w14:paraId="273E0C4C" w14:textId="77777777">
              <w:trPr>
                <w:trHeight w:val="500"/>
              </w:trPr>
              <w:tc>
                <w:tcPr>
                  <w:tcW w:w="1110" w:type="dxa"/>
                  <w:tcBorders>
                    <w:top w:val="nil"/>
                    <w:left w:val="nil"/>
                    <w:bottom w:val="nil"/>
                    <w:right w:val="nil"/>
                  </w:tcBorders>
                  <w:shd w:val="clear" w:color="auto" w:fill="D9D9D9"/>
                  <w:tcMar>
                    <w:top w:w="100" w:type="dxa"/>
                    <w:left w:w="100" w:type="dxa"/>
                    <w:bottom w:w="100" w:type="dxa"/>
                    <w:right w:w="100" w:type="dxa"/>
                  </w:tcMar>
                </w:tcPr>
                <w:p w14:paraId="1505B5F8"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 Female</w:t>
                  </w:r>
                </w:p>
              </w:tc>
              <w:tc>
                <w:tcPr>
                  <w:tcW w:w="3345" w:type="dxa"/>
                  <w:tcBorders>
                    <w:top w:val="nil"/>
                    <w:left w:val="nil"/>
                    <w:bottom w:val="nil"/>
                    <w:right w:val="nil"/>
                  </w:tcBorders>
                  <w:shd w:val="clear" w:color="auto" w:fill="D9D9D9"/>
                  <w:tcMar>
                    <w:top w:w="100" w:type="dxa"/>
                    <w:left w:w="100" w:type="dxa"/>
                    <w:bottom w:w="100" w:type="dxa"/>
                    <w:right w:w="100" w:type="dxa"/>
                  </w:tcMar>
                </w:tcPr>
                <w:p w14:paraId="1722A5C4"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                          60-65</w:t>
                  </w:r>
                </w:p>
              </w:tc>
            </w:tr>
            <w:tr w:rsidR="006A013B" w14:paraId="38F54551" w14:textId="77777777">
              <w:trPr>
                <w:trHeight w:val="500"/>
              </w:trPr>
              <w:tc>
                <w:tcPr>
                  <w:tcW w:w="1110" w:type="dxa"/>
                  <w:tcBorders>
                    <w:top w:val="nil"/>
                    <w:left w:val="nil"/>
                    <w:bottom w:val="nil"/>
                    <w:right w:val="nil"/>
                  </w:tcBorders>
                  <w:shd w:val="clear" w:color="auto" w:fill="D9D9D9"/>
                  <w:tcMar>
                    <w:top w:w="100" w:type="dxa"/>
                    <w:left w:w="100" w:type="dxa"/>
                    <w:bottom w:w="100" w:type="dxa"/>
                    <w:right w:w="100" w:type="dxa"/>
                  </w:tcMar>
                </w:tcPr>
                <w:p w14:paraId="126A8D03"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 Male</w:t>
                  </w:r>
                </w:p>
              </w:tc>
              <w:tc>
                <w:tcPr>
                  <w:tcW w:w="3345" w:type="dxa"/>
                  <w:tcBorders>
                    <w:top w:val="nil"/>
                    <w:left w:val="nil"/>
                    <w:bottom w:val="nil"/>
                    <w:right w:val="nil"/>
                  </w:tcBorders>
                  <w:shd w:val="clear" w:color="auto" w:fill="D9D9D9"/>
                  <w:tcMar>
                    <w:top w:w="100" w:type="dxa"/>
                    <w:left w:w="100" w:type="dxa"/>
                    <w:bottom w:w="100" w:type="dxa"/>
                    <w:right w:w="100" w:type="dxa"/>
                  </w:tcMar>
                </w:tcPr>
                <w:p w14:paraId="1CB077EB"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                          35-40</w:t>
                  </w:r>
                </w:p>
              </w:tc>
            </w:tr>
          </w:tbl>
          <w:p w14:paraId="34711130" w14:textId="77777777" w:rsidR="006A013B" w:rsidRDefault="00000000">
            <w:pPr>
              <w:pStyle w:val="Heading3"/>
              <w:spacing w:before="280" w:after="80" w:line="276" w:lineRule="auto"/>
              <w:ind w:left="-15"/>
              <w:jc w:val="left"/>
              <w:rPr>
                <w:rFonts w:ascii="Calibri" w:eastAsia="Calibri" w:hAnsi="Calibri" w:cs="Calibri"/>
                <w:sz w:val="16"/>
                <w:szCs w:val="16"/>
              </w:rPr>
            </w:pPr>
            <w:bookmarkStart w:id="2" w:name="_heading=h.80z9hk173ozk" w:colFirst="0" w:colLast="0"/>
            <w:bookmarkEnd w:id="2"/>
            <w:r>
              <w:rPr>
                <w:rFonts w:ascii="Calibri" w:eastAsia="Calibri" w:hAnsi="Calibri" w:cs="Calibri"/>
                <w:b w:val="0"/>
                <w:color w:val="000000"/>
                <w:sz w:val="16"/>
                <w:szCs w:val="16"/>
              </w:rPr>
              <w:t xml:space="preserve">Source: Adapted from </w:t>
            </w:r>
            <w:proofErr w:type="spellStart"/>
            <w:r>
              <w:rPr>
                <w:rFonts w:ascii="Calibri" w:eastAsia="Calibri" w:hAnsi="Calibri" w:cs="Calibri"/>
                <w:b w:val="0"/>
                <w:color w:val="000000"/>
                <w:sz w:val="16"/>
                <w:szCs w:val="16"/>
              </w:rPr>
              <w:t>Naikaso</w:t>
            </w:r>
            <w:proofErr w:type="spellEnd"/>
            <w:r>
              <w:rPr>
                <w:rFonts w:ascii="Calibri" w:eastAsia="Calibri" w:hAnsi="Calibri" w:cs="Calibri"/>
                <w:b w:val="0"/>
                <w:color w:val="000000"/>
                <w:sz w:val="16"/>
                <w:szCs w:val="16"/>
              </w:rPr>
              <w:t xml:space="preserve">, F. (2023). </w:t>
            </w:r>
            <w:r>
              <w:rPr>
                <w:rFonts w:ascii="Calibri" w:eastAsia="Calibri" w:hAnsi="Calibri" w:cs="Calibri"/>
                <w:b w:val="0"/>
                <w:i/>
                <w:color w:val="000000"/>
                <w:sz w:val="16"/>
                <w:szCs w:val="16"/>
              </w:rPr>
              <w:t>Huge number of boys dropping out of school</w:t>
            </w:r>
            <w:r>
              <w:rPr>
                <w:rFonts w:ascii="Calibri" w:eastAsia="Calibri" w:hAnsi="Calibri" w:cs="Calibri"/>
                <w:b w:val="0"/>
                <w:color w:val="000000"/>
                <w:sz w:val="16"/>
                <w:szCs w:val="16"/>
              </w:rPr>
              <w:t>. FBC News.</w:t>
            </w:r>
            <w:hyperlink r:id="rId15">
              <w:r>
                <w:rPr>
                  <w:rFonts w:ascii="Calibri" w:eastAsia="Calibri" w:hAnsi="Calibri" w:cs="Calibri"/>
                  <w:color w:val="000000"/>
                  <w:sz w:val="16"/>
                  <w:szCs w:val="16"/>
                </w:rPr>
                <w:t xml:space="preserve"> </w:t>
              </w:r>
            </w:hyperlink>
            <w:hyperlink r:id="rId16">
              <w:r>
                <w:rPr>
                  <w:rFonts w:ascii="Calibri" w:eastAsia="Calibri" w:hAnsi="Calibri" w:cs="Calibri"/>
                  <w:color w:val="1155CC"/>
                  <w:sz w:val="16"/>
                  <w:szCs w:val="16"/>
                  <w:u w:val="single"/>
                </w:rPr>
                <w:t>https://www.fbcnews.com.fj/news/education/huge-number-of-boys-dropping-out-of-school/</w:t>
              </w:r>
            </w:hyperlink>
          </w:p>
          <w:p w14:paraId="70AD3354"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While statistics highlight </w:t>
            </w:r>
            <w:proofErr w:type="gramStart"/>
            <w:r>
              <w:rPr>
                <w:rFonts w:ascii="Calibri" w:eastAsia="Calibri" w:hAnsi="Calibri" w:cs="Calibri"/>
              </w:rPr>
              <w:t>a number of</w:t>
            </w:r>
            <w:proofErr w:type="gramEnd"/>
            <w:r>
              <w:rPr>
                <w:rFonts w:ascii="Calibri" w:eastAsia="Calibri" w:hAnsi="Calibri" w:cs="Calibri"/>
              </w:rPr>
              <w:t xml:space="preserve"> social issues concerning boys, there has been little research to capture the challenges and intricacies of their lives and provide targeted solutions. </w:t>
            </w:r>
            <w:proofErr w:type="gramStart"/>
            <w:r>
              <w:rPr>
                <w:rFonts w:ascii="Calibri" w:eastAsia="Calibri" w:hAnsi="Calibri" w:cs="Calibri"/>
              </w:rPr>
              <w:t>Consequently</w:t>
            </w:r>
            <w:proofErr w:type="gramEnd"/>
            <w:r>
              <w:rPr>
                <w:rFonts w:ascii="Calibri" w:eastAsia="Calibri" w:hAnsi="Calibri" w:cs="Calibri"/>
              </w:rPr>
              <w:t xml:space="preserve"> boys are not specifically included in policy implementations and </w:t>
            </w:r>
            <w:r>
              <w:rPr>
                <w:rFonts w:ascii="Calibri" w:eastAsia="Calibri" w:hAnsi="Calibri" w:cs="Calibri"/>
                <w:highlight w:val="white"/>
              </w:rPr>
              <w:t>programs to address their issues</w:t>
            </w:r>
            <w:r>
              <w:rPr>
                <w:rFonts w:ascii="Calibri" w:eastAsia="Calibri" w:hAnsi="Calibri" w:cs="Calibri"/>
              </w:rPr>
              <w:t>.</w:t>
            </w:r>
          </w:p>
          <w:p w14:paraId="3F971600" w14:textId="77777777" w:rsidR="006A013B" w:rsidRDefault="006A013B">
            <w:pPr>
              <w:spacing w:before="200" w:line="276" w:lineRule="auto"/>
              <w:ind w:left="-15"/>
              <w:jc w:val="both"/>
              <w:rPr>
                <w:rFonts w:ascii="Calibri" w:eastAsia="Calibri" w:hAnsi="Calibri" w:cs="Calibri"/>
              </w:rPr>
            </w:pPr>
          </w:p>
          <w:p w14:paraId="2233DAD7" w14:textId="77777777" w:rsidR="006A013B" w:rsidRDefault="00000000">
            <w:pPr>
              <w:pStyle w:val="Heading2"/>
              <w:spacing w:after="0" w:line="276" w:lineRule="auto"/>
              <w:jc w:val="both"/>
            </w:pPr>
            <w:bookmarkStart w:id="3" w:name="_heading=h.3rdcrjn" w:colFirst="0" w:colLast="0"/>
            <w:bookmarkEnd w:id="3"/>
            <w:r>
              <w:rPr>
                <w:rFonts w:ascii="Calibri" w:eastAsia="Calibri" w:hAnsi="Calibri" w:cs="Calibri"/>
                <w:color w:val="000080"/>
                <w:sz w:val="22"/>
              </w:rPr>
              <w:t>The Study</w:t>
            </w:r>
          </w:p>
          <w:p w14:paraId="3A5F1F9B" w14:textId="77777777" w:rsidR="006A013B" w:rsidRDefault="00000000">
            <w:pPr>
              <w:spacing w:line="276" w:lineRule="auto"/>
              <w:jc w:val="both"/>
              <w:rPr>
                <w:rFonts w:ascii="Calibri" w:eastAsia="Calibri" w:hAnsi="Calibri" w:cs="Calibri"/>
              </w:rPr>
            </w:pPr>
            <w:r>
              <w:rPr>
                <w:rFonts w:ascii="Calibri" w:eastAsia="Calibri" w:hAnsi="Calibri" w:cs="Calibri"/>
              </w:rPr>
              <w:t xml:space="preserve">This study adopted a child </w:t>
            </w:r>
            <w:proofErr w:type="spellStart"/>
            <w:r>
              <w:rPr>
                <w:rFonts w:ascii="Calibri" w:eastAsia="Calibri" w:hAnsi="Calibri" w:cs="Calibri"/>
              </w:rPr>
              <w:t>centered</w:t>
            </w:r>
            <w:proofErr w:type="spellEnd"/>
            <w:r>
              <w:rPr>
                <w:rFonts w:ascii="Calibri" w:eastAsia="Calibri" w:hAnsi="Calibri" w:cs="Calibri"/>
              </w:rPr>
              <w:t xml:space="preserve"> approach </w:t>
            </w:r>
            <w:proofErr w:type="gramStart"/>
            <w:r>
              <w:rPr>
                <w:rFonts w:ascii="Calibri" w:eastAsia="Calibri" w:hAnsi="Calibri" w:cs="Calibri"/>
              </w:rPr>
              <w:t>in order to</w:t>
            </w:r>
            <w:proofErr w:type="gramEnd"/>
            <w:r>
              <w:rPr>
                <w:rFonts w:ascii="Calibri" w:eastAsia="Calibri" w:hAnsi="Calibri" w:cs="Calibri"/>
              </w:rPr>
              <w:t xml:space="preserve"> prioritize children and young people’s perspectives through a combination of in-depth interviews, focus groups and observations. Participants included 3 teachers and 62 boys between the ages of 10 and 18 years from four schools. The research was conducted in Suva and </w:t>
            </w:r>
            <w:proofErr w:type="spellStart"/>
            <w:r>
              <w:rPr>
                <w:rFonts w:ascii="Calibri" w:eastAsia="Calibri" w:hAnsi="Calibri" w:cs="Calibri"/>
              </w:rPr>
              <w:t>Korovou</w:t>
            </w:r>
            <w:proofErr w:type="spellEnd"/>
            <w:r>
              <w:rPr>
                <w:rFonts w:ascii="Calibri" w:eastAsia="Calibri" w:hAnsi="Calibri" w:cs="Calibri"/>
              </w:rPr>
              <w:t xml:space="preserve"> on Fiji’s largest island of Viti </w:t>
            </w:r>
            <w:proofErr w:type="spellStart"/>
            <w:r>
              <w:rPr>
                <w:rFonts w:ascii="Calibri" w:eastAsia="Calibri" w:hAnsi="Calibri" w:cs="Calibri"/>
              </w:rPr>
              <w:t>Levu</w:t>
            </w:r>
            <w:proofErr w:type="spellEnd"/>
            <w:r>
              <w:rPr>
                <w:rFonts w:ascii="Calibri" w:eastAsia="Calibri" w:hAnsi="Calibri" w:cs="Calibri"/>
              </w:rPr>
              <w:t xml:space="preserve"> as highlighted in Figure 1.</w:t>
            </w:r>
          </w:p>
          <w:p w14:paraId="6E4C4B4E" w14:textId="77777777" w:rsidR="006A013B" w:rsidRDefault="00000000">
            <w:pPr>
              <w:spacing w:line="276" w:lineRule="auto"/>
              <w:jc w:val="both"/>
              <w:rPr>
                <w:rFonts w:ascii="Calibri" w:eastAsia="Calibri" w:hAnsi="Calibri" w:cs="Calibri"/>
              </w:rPr>
            </w:pPr>
            <w:r>
              <w:rPr>
                <w:rFonts w:ascii="Calibri" w:eastAsia="Calibri" w:hAnsi="Calibri" w:cs="Calibri"/>
                <w:sz w:val="20"/>
                <w:szCs w:val="20"/>
              </w:rPr>
              <w:t xml:space="preserve"> </w:t>
            </w:r>
          </w:p>
          <w:p w14:paraId="7FF1F2E8" w14:textId="77777777" w:rsidR="006A013B" w:rsidRDefault="006A013B">
            <w:pPr>
              <w:spacing w:line="276" w:lineRule="auto"/>
              <w:jc w:val="both"/>
              <w:rPr>
                <w:rFonts w:ascii="Calibri" w:eastAsia="Calibri" w:hAnsi="Calibri" w:cs="Calibri"/>
                <w:b/>
                <w:sz w:val="20"/>
                <w:szCs w:val="20"/>
              </w:rPr>
            </w:pPr>
          </w:p>
          <w:p w14:paraId="0000ACFD" w14:textId="77777777" w:rsidR="006A013B" w:rsidRDefault="006A013B">
            <w:pPr>
              <w:spacing w:line="276" w:lineRule="auto"/>
              <w:jc w:val="both"/>
              <w:rPr>
                <w:rFonts w:ascii="Calibri" w:eastAsia="Calibri" w:hAnsi="Calibri" w:cs="Calibri"/>
                <w:b/>
                <w:sz w:val="20"/>
                <w:szCs w:val="20"/>
              </w:rPr>
            </w:pPr>
          </w:p>
          <w:p w14:paraId="34F91F62" w14:textId="77777777" w:rsidR="006A013B" w:rsidRDefault="006A013B">
            <w:pPr>
              <w:spacing w:line="276" w:lineRule="auto"/>
              <w:rPr>
                <w:rFonts w:ascii="Calibri" w:eastAsia="Calibri" w:hAnsi="Calibri" w:cs="Calibri"/>
                <w:b/>
                <w:sz w:val="20"/>
                <w:szCs w:val="20"/>
              </w:rPr>
            </w:pPr>
          </w:p>
          <w:p w14:paraId="5435B24B" w14:textId="77777777" w:rsidR="006A013B" w:rsidRDefault="00000000">
            <w:pPr>
              <w:spacing w:line="276" w:lineRule="auto"/>
              <w:jc w:val="both"/>
              <w:rPr>
                <w:rFonts w:ascii="Calibri" w:eastAsia="Calibri" w:hAnsi="Calibri" w:cs="Calibri"/>
                <w:b/>
                <w:sz w:val="20"/>
                <w:szCs w:val="20"/>
              </w:rPr>
            </w:pPr>
            <w:r>
              <w:rPr>
                <w:rFonts w:ascii="Calibri" w:eastAsia="Calibri" w:hAnsi="Calibri" w:cs="Calibri"/>
                <w:noProof/>
              </w:rPr>
              <w:drawing>
                <wp:inline distT="114300" distB="114300" distL="114300" distR="114300" wp14:anchorId="7993847C" wp14:editId="2B4E77B8">
                  <wp:extent cx="2390775" cy="1914525"/>
                  <wp:effectExtent l="0" t="0" r="0" b="0"/>
                  <wp:docPr id="12622609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390775" cy="1914525"/>
                          </a:xfrm>
                          <a:prstGeom prst="rect">
                            <a:avLst/>
                          </a:prstGeom>
                          <a:ln/>
                        </pic:spPr>
                      </pic:pic>
                    </a:graphicData>
                  </a:graphic>
                </wp:inline>
              </w:drawing>
            </w:r>
          </w:p>
          <w:p w14:paraId="2B05B7A5" w14:textId="77777777" w:rsidR="006A013B" w:rsidRDefault="00000000">
            <w:pPr>
              <w:spacing w:line="276" w:lineRule="auto"/>
              <w:rPr>
                <w:rFonts w:ascii="Calibri" w:eastAsia="Calibri" w:hAnsi="Calibri" w:cs="Calibri"/>
                <w:b/>
                <w:sz w:val="18"/>
                <w:szCs w:val="18"/>
              </w:rPr>
            </w:pPr>
            <w:r>
              <w:rPr>
                <w:rFonts w:ascii="Calibri" w:eastAsia="Calibri" w:hAnsi="Calibri" w:cs="Calibri"/>
                <w:b/>
                <w:sz w:val="20"/>
                <w:szCs w:val="20"/>
              </w:rPr>
              <w:t>Figure 1</w:t>
            </w:r>
            <w:r>
              <w:rPr>
                <w:rFonts w:ascii="Calibri" w:eastAsia="Calibri" w:hAnsi="Calibri" w:cs="Calibri"/>
                <w:b/>
                <w:sz w:val="18"/>
                <w:szCs w:val="18"/>
              </w:rPr>
              <w:t xml:space="preserve"> : Map of Viti </w:t>
            </w:r>
            <w:proofErr w:type="spellStart"/>
            <w:r>
              <w:rPr>
                <w:rFonts w:ascii="Calibri" w:eastAsia="Calibri" w:hAnsi="Calibri" w:cs="Calibri"/>
                <w:b/>
                <w:sz w:val="18"/>
                <w:szCs w:val="18"/>
              </w:rPr>
              <w:t>Levu</w:t>
            </w:r>
            <w:proofErr w:type="spellEnd"/>
            <w:r>
              <w:rPr>
                <w:rFonts w:ascii="Calibri" w:eastAsia="Calibri" w:hAnsi="Calibri" w:cs="Calibri"/>
                <w:b/>
                <w:sz w:val="18"/>
                <w:szCs w:val="18"/>
              </w:rPr>
              <w:t xml:space="preserve"> indicating the field work sites</w:t>
            </w:r>
          </w:p>
          <w:p w14:paraId="15630AF6" w14:textId="77777777" w:rsidR="006A013B" w:rsidRDefault="00000000">
            <w:pPr>
              <w:spacing w:line="276" w:lineRule="auto"/>
              <w:rPr>
                <w:rFonts w:ascii="Calibri" w:eastAsia="Calibri" w:hAnsi="Calibri" w:cs="Calibri"/>
                <w:sz w:val="16"/>
                <w:szCs w:val="16"/>
              </w:rPr>
            </w:pPr>
            <w:r>
              <w:rPr>
                <w:rFonts w:ascii="Calibri" w:eastAsia="Calibri" w:hAnsi="Calibri" w:cs="Calibri"/>
                <w:sz w:val="16"/>
                <w:szCs w:val="16"/>
              </w:rPr>
              <w:t xml:space="preserve">Source: </w:t>
            </w:r>
            <w:r>
              <w:rPr>
                <w:rFonts w:ascii="Calibri" w:eastAsia="Calibri" w:hAnsi="Calibri" w:cs="Calibri"/>
                <w:sz w:val="16"/>
                <w:szCs w:val="16"/>
                <w:highlight w:val="white"/>
              </w:rPr>
              <w:t xml:space="preserve">Britannica, T. (2023), Editors of Encyclopaedia, </w:t>
            </w:r>
            <w:r>
              <w:rPr>
                <w:rFonts w:ascii="Calibri" w:eastAsia="Calibri" w:hAnsi="Calibri" w:cs="Calibri"/>
                <w:i/>
                <w:sz w:val="16"/>
                <w:szCs w:val="16"/>
                <w:highlight w:val="white"/>
              </w:rPr>
              <w:t xml:space="preserve">Viti </w:t>
            </w:r>
            <w:proofErr w:type="spellStart"/>
            <w:r>
              <w:rPr>
                <w:rFonts w:ascii="Calibri" w:eastAsia="Calibri" w:hAnsi="Calibri" w:cs="Calibri"/>
                <w:i/>
                <w:sz w:val="16"/>
                <w:szCs w:val="16"/>
                <w:highlight w:val="white"/>
              </w:rPr>
              <w:t>Levu</w:t>
            </w:r>
            <w:proofErr w:type="spellEnd"/>
            <w:r>
              <w:rPr>
                <w:rFonts w:ascii="Calibri" w:eastAsia="Calibri" w:hAnsi="Calibri" w:cs="Calibri"/>
                <w:sz w:val="16"/>
                <w:szCs w:val="16"/>
                <w:highlight w:val="white"/>
              </w:rPr>
              <w:t xml:space="preserve">. </w:t>
            </w:r>
            <w:proofErr w:type="spellStart"/>
            <w:r>
              <w:rPr>
                <w:rFonts w:ascii="Calibri" w:eastAsia="Calibri" w:hAnsi="Calibri" w:cs="Calibri"/>
                <w:sz w:val="16"/>
                <w:szCs w:val="16"/>
                <w:highlight w:val="white"/>
              </w:rPr>
              <w:t>Encyclopedia</w:t>
            </w:r>
            <w:proofErr w:type="spellEnd"/>
            <w:r>
              <w:rPr>
                <w:rFonts w:ascii="Calibri" w:eastAsia="Calibri" w:hAnsi="Calibri" w:cs="Calibri"/>
                <w:sz w:val="16"/>
                <w:szCs w:val="16"/>
                <w:highlight w:val="white"/>
              </w:rPr>
              <w:t xml:space="preserve"> Britannica. https://www.britannica.com/place/Viti-Levu</w:t>
            </w:r>
          </w:p>
          <w:p w14:paraId="13A846ED" w14:textId="77777777" w:rsidR="006A013B" w:rsidRDefault="006A013B">
            <w:pPr>
              <w:spacing w:line="276" w:lineRule="auto"/>
              <w:rPr>
                <w:rFonts w:ascii="Calibri" w:eastAsia="Calibri" w:hAnsi="Calibri" w:cs="Calibri"/>
                <w:b/>
                <w:sz w:val="16"/>
                <w:szCs w:val="16"/>
              </w:rPr>
            </w:pPr>
          </w:p>
          <w:p w14:paraId="39B5B77B" w14:textId="77777777" w:rsidR="006A013B" w:rsidRDefault="00000000">
            <w:pPr>
              <w:spacing w:line="276" w:lineRule="auto"/>
              <w:jc w:val="both"/>
              <w:rPr>
                <w:rFonts w:ascii="Calibri" w:eastAsia="Calibri" w:hAnsi="Calibri" w:cs="Calibri"/>
              </w:rPr>
            </w:pPr>
            <w:r>
              <w:rPr>
                <w:rFonts w:ascii="Calibri" w:eastAsia="Calibri" w:hAnsi="Calibri" w:cs="Calibri"/>
              </w:rPr>
              <w:t>Indigenous Fijian and Fiji-Indian boys were the primary participants of this research. The following research questions were used to guide the research and e</w:t>
            </w:r>
            <w:r>
              <w:rPr>
                <w:rFonts w:ascii="Calibri" w:eastAsia="Calibri" w:hAnsi="Calibri" w:cs="Calibri"/>
                <w:highlight w:val="white"/>
              </w:rPr>
              <w:t>xplore boys' lives and experiences  and how ideals of masculinity are learnt, developed, constructed and embodied</w:t>
            </w:r>
            <w:r>
              <w:rPr>
                <w:rFonts w:ascii="Calibri" w:eastAsia="Calibri" w:hAnsi="Calibri" w:cs="Calibri"/>
              </w:rPr>
              <w:t>:</w:t>
            </w:r>
          </w:p>
          <w:p w14:paraId="0B4CCB2B" w14:textId="77777777" w:rsidR="006A013B" w:rsidRDefault="006A013B">
            <w:pPr>
              <w:spacing w:line="276" w:lineRule="auto"/>
              <w:jc w:val="both"/>
              <w:rPr>
                <w:rFonts w:ascii="Calibri" w:eastAsia="Calibri" w:hAnsi="Calibri" w:cs="Calibri"/>
              </w:rPr>
            </w:pPr>
          </w:p>
          <w:p w14:paraId="1C1AF02A" w14:textId="77777777" w:rsidR="006A013B" w:rsidRDefault="00000000">
            <w:pPr>
              <w:numPr>
                <w:ilvl w:val="0"/>
                <w:numId w:val="3"/>
              </w:numPr>
              <w:spacing w:line="276" w:lineRule="auto"/>
              <w:jc w:val="both"/>
              <w:rPr>
                <w:rFonts w:ascii="Calibri" w:eastAsia="Calibri" w:hAnsi="Calibri" w:cs="Calibri"/>
              </w:rPr>
            </w:pPr>
            <w:r>
              <w:rPr>
                <w:rFonts w:ascii="Calibri" w:eastAsia="Calibri" w:hAnsi="Calibri" w:cs="Calibri"/>
              </w:rPr>
              <w:t>What is it like growing up as a boy in Fiji?</w:t>
            </w:r>
          </w:p>
          <w:p w14:paraId="507C2FEF" w14:textId="77777777" w:rsidR="006A013B" w:rsidRDefault="00000000">
            <w:pPr>
              <w:numPr>
                <w:ilvl w:val="0"/>
                <w:numId w:val="3"/>
              </w:numPr>
              <w:spacing w:line="276" w:lineRule="auto"/>
              <w:jc w:val="both"/>
              <w:rPr>
                <w:rFonts w:ascii="Calibri" w:eastAsia="Calibri" w:hAnsi="Calibri" w:cs="Calibri"/>
              </w:rPr>
            </w:pPr>
            <w:r>
              <w:rPr>
                <w:rFonts w:ascii="Calibri" w:eastAsia="Calibri" w:hAnsi="Calibri" w:cs="Calibri"/>
              </w:rPr>
              <w:t>What do participants think are some positive and negative aspects of being a boy?</w:t>
            </w:r>
          </w:p>
          <w:p w14:paraId="4747B1E6" w14:textId="77777777" w:rsidR="006A013B" w:rsidRDefault="00000000">
            <w:pPr>
              <w:numPr>
                <w:ilvl w:val="0"/>
                <w:numId w:val="3"/>
              </w:numPr>
              <w:spacing w:line="276" w:lineRule="auto"/>
              <w:jc w:val="both"/>
              <w:rPr>
                <w:rFonts w:ascii="Calibri" w:eastAsia="Calibri" w:hAnsi="Calibri" w:cs="Calibri"/>
              </w:rPr>
            </w:pPr>
            <w:r>
              <w:rPr>
                <w:rFonts w:ascii="Calibri" w:eastAsia="Calibri" w:hAnsi="Calibri" w:cs="Calibri"/>
              </w:rPr>
              <w:t>What are the social factors that influence or impact boys' understanding of boyhood?</w:t>
            </w:r>
          </w:p>
          <w:p w14:paraId="2480A8BC" w14:textId="77777777" w:rsidR="006A013B" w:rsidRDefault="006A013B">
            <w:pPr>
              <w:spacing w:line="276" w:lineRule="auto"/>
              <w:jc w:val="both"/>
              <w:rPr>
                <w:rFonts w:ascii="Calibri" w:eastAsia="Calibri" w:hAnsi="Calibri" w:cs="Calibri"/>
              </w:rPr>
            </w:pPr>
          </w:p>
          <w:p w14:paraId="76D60883" w14:textId="77777777" w:rsidR="006A013B" w:rsidRDefault="00000000">
            <w:pPr>
              <w:spacing w:line="276" w:lineRule="auto"/>
              <w:jc w:val="both"/>
              <w:rPr>
                <w:rFonts w:ascii="Calibri" w:eastAsia="Calibri" w:hAnsi="Calibri" w:cs="Calibri"/>
                <w:b/>
              </w:rPr>
            </w:pPr>
            <w:r>
              <w:rPr>
                <w:rFonts w:ascii="Calibri" w:eastAsia="Calibri" w:hAnsi="Calibri" w:cs="Calibri"/>
                <w:b/>
                <w:color w:val="006600"/>
              </w:rPr>
              <w:t>Key Findings</w:t>
            </w:r>
          </w:p>
          <w:p w14:paraId="0C119017" w14:textId="77777777" w:rsidR="006A013B" w:rsidRDefault="00000000">
            <w:pPr>
              <w:spacing w:line="276" w:lineRule="auto"/>
              <w:jc w:val="both"/>
              <w:rPr>
                <w:rFonts w:ascii="Calibri" w:eastAsia="Calibri" w:hAnsi="Calibri" w:cs="Calibri"/>
              </w:rPr>
            </w:pPr>
            <w:r>
              <w:rPr>
                <w:rFonts w:ascii="Calibri" w:eastAsia="Calibri" w:hAnsi="Calibri" w:cs="Calibri"/>
              </w:rPr>
              <w:t xml:space="preserve">The findings from the study indicate that cultural, societal and religious influences have a strong effect on boys' </w:t>
            </w:r>
            <w:proofErr w:type="spellStart"/>
            <w:r>
              <w:rPr>
                <w:rFonts w:ascii="Calibri" w:eastAsia="Calibri" w:hAnsi="Calibri" w:cs="Calibri"/>
              </w:rPr>
              <w:t>behaviors</w:t>
            </w:r>
            <w:proofErr w:type="spellEnd"/>
            <w:r>
              <w:rPr>
                <w:rFonts w:ascii="Calibri" w:eastAsia="Calibri" w:hAnsi="Calibri" w:cs="Calibri"/>
              </w:rPr>
              <w:t>, attitudes and an understanding of their gender roles and identities.</w:t>
            </w:r>
            <w:r>
              <w:rPr>
                <w:rFonts w:ascii="Calibri" w:eastAsia="Calibri" w:hAnsi="Calibri" w:cs="Calibri"/>
                <w:color w:val="666666"/>
              </w:rPr>
              <w:t xml:space="preserve"> </w:t>
            </w:r>
            <w:r>
              <w:rPr>
                <w:rFonts w:ascii="Calibri" w:eastAsia="Calibri" w:hAnsi="Calibri" w:cs="Calibri"/>
              </w:rPr>
              <w:t>These ideals often promote physical strength, emotional stoicism, and disassociation from femininity.</w:t>
            </w:r>
          </w:p>
          <w:p w14:paraId="18D177A2" w14:textId="77777777" w:rsidR="006A013B" w:rsidRDefault="006A013B">
            <w:pPr>
              <w:spacing w:line="276" w:lineRule="auto"/>
              <w:jc w:val="both"/>
              <w:rPr>
                <w:rFonts w:ascii="Calibri" w:eastAsia="Calibri" w:hAnsi="Calibri" w:cs="Calibri"/>
              </w:rPr>
            </w:pPr>
          </w:p>
          <w:p w14:paraId="36E73AF3" w14:textId="77777777" w:rsidR="006A013B" w:rsidRDefault="00000000">
            <w:pPr>
              <w:spacing w:line="276" w:lineRule="auto"/>
              <w:jc w:val="center"/>
              <w:rPr>
                <w:rFonts w:ascii="Calibri" w:eastAsia="Calibri" w:hAnsi="Calibri" w:cs="Calibri"/>
                <w:color w:val="006600"/>
              </w:rPr>
            </w:pPr>
            <w:r>
              <w:rPr>
                <w:rFonts w:ascii="Calibri" w:eastAsia="Calibri" w:hAnsi="Calibri" w:cs="Calibri"/>
                <w:color w:val="006600"/>
              </w:rPr>
              <w:t>“Boys need to be strong. They need to run fast, to be good at rugby and farming. They shouldn't wear girls' clothes and makeup. They should marry a girl”</w:t>
            </w:r>
          </w:p>
          <w:p w14:paraId="5FCD3F7D" w14:textId="77777777" w:rsidR="006A013B" w:rsidRDefault="00000000">
            <w:pPr>
              <w:spacing w:line="276" w:lineRule="auto"/>
              <w:jc w:val="center"/>
              <w:rPr>
                <w:rFonts w:ascii="Calibri" w:eastAsia="Calibri" w:hAnsi="Calibri" w:cs="Calibri"/>
              </w:rPr>
            </w:pPr>
            <w:r>
              <w:rPr>
                <w:rFonts w:ascii="Calibri" w:eastAsia="Calibri" w:hAnsi="Calibri" w:cs="Calibri"/>
              </w:rPr>
              <w:t>Indigenous Fijian participant, 10 years</w:t>
            </w:r>
          </w:p>
          <w:p w14:paraId="600975A0" w14:textId="77777777" w:rsidR="006A013B" w:rsidRDefault="006A013B">
            <w:pPr>
              <w:spacing w:line="276" w:lineRule="auto"/>
              <w:jc w:val="both"/>
              <w:rPr>
                <w:rFonts w:ascii="Calibri" w:eastAsia="Calibri" w:hAnsi="Calibri" w:cs="Calibri"/>
              </w:rPr>
            </w:pPr>
          </w:p>
          <w:tbl>
            <w:tblPr>
              <w:tblStyle w:val="a3"/>
              <w:tblW w:w="4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5"/>
            </w:tblGrid>
            <w:tr w:rsidR="006A013B" w14:paraId="4FF42287" w14:textId="77777777">
              <w:trPr>
                <w:trHeight w:val="3675"/>
              </w:trPr>
              <w:tc>
                <w:tcPr>
                  <w:tcW w:w="4945" w:type="dxa"/>
                  <w:shd w:val="clear" w:color="auto" w:fill="CCCCCC"/>
                  <w:tcMar>
                    <w:top w:w="100" w:type="dxa"/>
                    <w:left w:w="100" w:type="dxa"/>
                    <w:bottom w:w="100" w:type="dxa"/>
                    <w:right w:w="100" w:type="dxa"/>
                  </w:tcMar>
                </w:tcPr>
                <w:sdt>
                  <w:sdtPr>
                    <w:tag w:val="goog_rdk_0"/>
                    <w:id w:val="-598416930"/>
                    <w:lock w:val="contentLocked"/>
                  </w:sdtPr>
                  <w:sdtContent>
                    <w:p w14:paraId="65F26572" w14:textId="77777777" w:rsidR="006A013B" w:rsidRDefault="00000000">
                      <w:pPr>
                        <w:widowControl w:val="0"/>
                        <w:spacing w:line="276" w:lineRule="auto"/>
                        <w:ind w:firstLine="15"/>
                        <w:jc w:val="both"/>
                        <w:rPr>
                          <w:rFonts w:ascii="Calibri" w:eastAsia="Calibri" w:hAnsi="Calibri" w:cs="Calibri"/>
                        </w:rPr>
                      </w:pPr>
                      <w:r>
                        <w:rPr>
                          <w:rFonts w:ascii="Calibri" w:eastAsia="Calibri" w:hAnsi="Calibri" w:cs="Calibri"/>
                        </w:rPr>
                        <w:t>The findings can be divided into three broad categories:</w:t>
                      </w:r>
                    </w:p>
                    <w:p w14:paraId="1F2ABCF4" w14:textId="77777777" w:rsidR="006A013B" w:rsidRDefault="00000000">
                      <w:pPr>
                        <w:widowControl w:val="0"/>
                        <w:numPr>
                          <w:ilvl w:val="0"/>
                          <w:numId w:val="2"/>
                        </w:numPr>
                        <w:spacing w:line="276" w:lineRule="auto"/>
                        <w:jc w:val="both"/>
                        <w:rPr>
                          <w:rFonts w:ascii="Calibri" w:eastAsia="Calibri" w:hAnsi="Calibri" w:cs="Calibri"/>
                        </w:rPr>
                      </w:pPr>
                      <w:r>
                        <w:rPr>
                          <w:rFonts w:ascii="Calibri" w:eastAsia="Calibri" w:hAnsi="Calibri" w:cs="Calibri"/>
                        </w:rPr>
                        <w:t>The cultural conceptions, attitudes and expectations of masculinity on boys from society i.e how social institutions play a role in defining the boundaries, expectations and standards of appropriate male behavior.</w:t>
                      </w:r>
                    </w:p>
                    <w:p w14:paraId="459F9DC1" w14:textId="77777777" w:rsidR="006A013B" w:rsidRDefault="00000000">
                      <w:pPr>
                        <w:widowControl w:val="0"/>
                        <w:numPr>
                          <w:ilvl w:val="0"/>
                          <w:numId w:val="2"/>
                        </w:numPr>
                        <w:spacing w:line="276" w:lineRule="auto"/>
                        <w:jc w:val="both"/>
                        <w:rPr>
                          <w:rFonts w:ascii="Calibri" w:eastAsia="Calibri" w:hAnsi="Calibri" w:cs="Calibri"/>
                        </w:rPr>
                      </w:pPr>
                      <w:r>
                        <w:rPr>
                          <w:rFonts w:ascii="Calibri" w:eastAsia="Calibri" w:hAnsi="Calibri" w:cs="Calibri"/>
                        </w:rPr>
                        <w:t>Ways in which boys interpret, negotiate and enact the meaning of being male in their daily lives</w:t>
                      </w:r>
                    </w:p>
                    <w:p w14:paraId="1773C909" w14:textId="77777777" w:rsidR="006A013B" w:rsidRDefault="00000000">
                      <w:pPr>
                        <w:widowControl w:val="0"/>
                        <w:numPr>
                          <w:ilvl w:val="0"/>
                          <w:numId w:val="2"/>
                        </w:numPr>
                        <w:spacing w:line="276" w:lineRule="auto"/>
                        <w:jc w:val="both"/>
                        <w:rPr>
                          <w:rFonts w:ascii="Calibri" w:eastAsia="Calibri" w:hAnsi="Calibri" w:cs="Calibri"/>
                        </w:rPr>
                      </w:pPr>
                      <w:r>
                        <w:rPr>
                          <w:rFonts w:ascii="Calibri" w:eastAsia="Calibri" w:hAnsi="Calibri" w:cs="Calibri"/>
                        </w:rPr>
                        <w:t>Experience of  non-heteronromative males</w:t>
                      </w:r>
                    </w:p>
                  </w:sdtContent>
                </w:sdt>
              </w:tc>
            </w:tr>
          </w:tbl>
          <w:p w14:paraId="63DD8116" w14:textId="77777777" w:rsidR="006A013B" w:rsidRDefault="006A013B">
            <w:pPr>
              <w:spacing w:line="276" w:lineRule="auto"/>
              <w:rPr>
                <w:rFonts w:ascii="Calibri" w:eastAsia="Calibri" w:hAnsi="Calibri" w:cs="Calibri"/>
              </w:rPr>
            </w:pPr>
          </w:p>
          <w:p w14:paraId="43AE2659" w14:textId="77777777" w:rsidR="006A013B" w:rsidRDefault="00000000">
            <w:pPr>
              <w:spacing w:line="276" w:lineRule="auto"/>
              <w:jc w:val="both"/>
              <w:rPr>
                <w:rFonts w:ascii="Calibri" w:eastAsia="Calibri" w:hAnsi="Calibri" w:cs="Calibri"/>
              </w:rPr>
            </w:pPr>
            <w:r>
              <w:rPr>
                <w:rFonts w:ascii="Calibri" w:eastAsia="Calibri" w:hAnsi="Calibri" w:cs="Calibri"/>
              </w:rPr>
              <w:t xml:space="preserve">Many boys' testimonies highlighted the significance of social relationships in their lives while also revealing the challenges they face in navigating and sustaining healthy friendships and peer relations. Boys often found it challenging to verbally communicate their emotions particularly because it wasn’t viewed as socially acceptable. Their primary ways of handling conflict included physical altercations or ending friendships. </w:t>
            </w:r>
          </w:p>
          <w:p w14:paraId="0B01F9C1" w14:textId="77777777" w:rsidR="006A013B" w:rsidRDefault="006A013B">
            <w:pPr>
              <w:spacing w:line="276" w:lineRule="auto"/>
              <w:rPr>
                <w:rFonts w:ascii="Calibri" w:eastAsia="Calibri" w:hAnsi="Calibri" w:cs="Calibri"/>
              </w:rPr>
            </w:pPr>
          </w:p>
          <w:p w14:paraId="65D71749" w14:textId="77777777" w:rsidR="006A013B" w:rsidRDefault="00000000">
            <w:pPr>
              <w:spacing w:line="276" w:lineRule="auto"/>
              <w:jc w:val="center"/>
              <w:rPr>
                <w:rFonts w:ascii="Calibri" w:eastAsia="Calibri" w:hAnsi="Calibri" w:cs="Calibri"/>
                <w:color w:val="006600"/>
              </w:rPr>
            </w:pPr>
            <w:r>
              <w:rPr>
                <w:rFonts w:ascii="Calibri" w:eastAsia="Calibri" w:hAnsi="Calibri" w:cs="Calibri"/>
                <w:color w:val="006600"/>
              </w:rPr>
              <w:t xml:space="preserve">“But boys, we don't like to voice our emotions or cry, because that's seen as feminine. And </w:t>
            </w:r>
            <w:proofErr w:type="gramStart"/>
            <w:r>
              <w:rPr>
                <w:rFonts w:ascii="Calibri" w:eastAsia="Calibri" w:hAnsi="Calibri" w:cs="Calibri"/>
                <w:color w:val="006600"/>
              </w:rPr>
              <w:t>so</w:t>
            </w:r>
            <w:proofErr w:type="gramEnd"/>
            <w:r>
              <w:rPr>
                <w:rFonts w:ascii="Calibri" w:eastAsia="Calibri" w:hAnsi="Calibri" w:cs="Calibri"/>
                <w:color w:val="006600"/>
              </w:rPr>
              <w:t xml:space="preserve"> we just bottle it up. But then comes a time where we can't hold it in anymore and it comes out.”</w:t>
            </w:r>
          </w:p>
          <w:p w14:paraId="07A531E0" w14:textId="77777777" w:rsidR="006A013B" w:rsidRDefault="00000000">
            <w:pPr>
              <w:spacing w:line="276" w:lineRule="auto"/>
              <w:jc w:val="center"/>
              <w:rPr>
                <w:rFonts w:ascii="Calibri" w:eastAsia="Calibri" w:hAnsi="Calibri" w:cs="Calibri"/>
              </w:rPr>
            </w:pPr>
            <w:r>
              <w:rPr>
                <w:rFonts w:ascii="Calibri" w:eastAsia="Calibri" w:hAnsi="Calibri" w:cs="Calibri"/>
              </w:rPr>
              <w:t>Indo-Fijian Participant, 16 years</w:t>
            </w:r>
          </w:p>
          <w:p w14:paraId="6777167F" w14:textId="77777777" w:rsidR="006A013B" w:rsidRDefault="006A013B">
            <w:pPr>
              <w:spacing w:line="276" w:lineRule="auto"/>
              <w:jc w:val="both"/>
              <w:rPr>
                <w:rFonts w:ascii="Calibri" w:eastAsia="Calibri" w:hAnsi="Calibri" w:cs="Calibri"/>
              </w:rPr>
            </w:pPr>
          </w:p>
          <w:p w14:paraId="5EA6E1D9" w14:textId="77777777" w:rsidR="006A013B" w:rsidRDefault="00000000">
            <w:pPr>
              <w:spacing w:line="276" w:lineRule="auto"/>
              <w:jc w:val="both"/>
              <w:rPr>
                <w:rFonts w:ascii="Calibri" w:eastAsia="Calibri" w:hAnsi="Calibri" w:cs="Calibri"/>
                <w:b/>
              </w:rPr>
            </w:pPr>
            <w:r>
              <w:rPr>
                <w:rFonts w:ascii="Calibri" w:eastAsia="Calibri" w:hAnsi="Calibri" w:cs="Calibri"/>
              </w:rPr>
              <w:t>Participants admitted facing disengagement from school owing to curriculum and teaching methods that did not promote creativity</w:t>
            </w:r>
            <w:r>
              <w:rPr>
                <w:rFonts w:ascii="Calibri" w:eastAsia="Calibri" w:hAnsi="Calibri" w:cs="Calibri"/>
                <w:b/>
              </w:rPr>
              <w:t xml:space="preserve">. </w:t>
            </w:r>
            <w:r>
              <w:rPr>
                <w:rFonts w:ascii="Calibri" w:eastAsia="Calibri" w:hAnsi="Calibri" w:cs="Calibri"/>
              </w:rPr>
              <w:t xml:space="preserve">This impacted school attendance and engagement as well as their assessment of their own abilities. </w:t>
            </w:r>
          </w:p>
          <w:p w14:paraId="43332842" w14:textId="77777777" w:rsidR="006A013B" w:rsidRDefault="006A013B">
            <w:pPr>
              <w:spacing w:line="276" w:lineRule="auto"/>
              <w:jc w:val="both"/>
              <w:rPr>
                <w:rFonts w:ascii="Calibri" w:eastAsia="Calibri" w:hAnsi="Calibri" w:cs="Calibri"/>
                <w:b/>
              </w:rPr>
            </w:pPr>
          </w:p>
          <w:p w14:paraId="1C9C516F" w14:textId="77777777" w:rsidR="006A013B" w:rsidRDefault="00000000">
            <w:pPr>
              <w:spacing w:line="276" w:lineRule="auto"/>
              <w:jc w:val="center"/>
              <w:rPr>
                <w:rFonts w:ascii="Calibri" w:eastAsia="Calibri" w:hAnsi="Calibri" w:cs="Calibri"/>
                <w:color w:val="006600"/>
              </w:rPr>
            </w:pPr>
            <w:r>
              <w:rPr>
                <w:rFonts w:ascii="Calibri" w:eastAsia="Calibri" w:hAnsi="Calibri" w:cs="Calibri"/>
                <w:color w:val="006600"/>
              </w:rPr>
              <w:t>“So, boys, they're only truant because classes are boring, and they feel like the classroom is like a cage. So, engaging the teachers on how they can take these classes outside, where they feel comfortable, more interested in the class and stuff like that.</w:t>
            </w:r>
          </w:p>
          <w:p w14:paraId="33ECC08E" w14:textId="77777777" w:rsidR="006A013B" w:rsidRDefault="00000000">
            <w:pPr>
              <w:spacing w:line="276" w:lineRule="auto"/>
              <w:jc w:val="center"/>
              <w:rPr>
                <w:rFonts w:ascii="Calibri" w:eastAsia="Calibri" w:hAnsi="Calibri" w:cs="Calibri"/>
                <w:b/>
              </w:rPr>
            </w:pPr>
            <w:r>
              <w:rPr>
                <w:rFonts w:ascii="Calibri" w:eastAsia="Calibri" w:hAnsi="Calibri" w:cs="Calibri"/>
              </w:rPr>
              <w:t>Indigenous Fijian Participant, 18 years</w:t>
            </w:r>
          </w:p>
          <w:p w14:paraId="1CA3C807" w14:textId="77777777" w:rsidR="006A013B" w:rsidRDefault="006A013B">
            <w:pPr>
              <w:spacing w:line="276" w:lineRule="auto"/>
              <w:jc w:val="both"/>
              <w:rPr>
                <w:rFonts w:ascii="Calibri" w:eastAsia="Calibri" w:hAnsi="Calibri" w:cs="Calibri"/>
              </w:rPr>
            </w:pPr>
          </w:p>
          <w:p w14:paraId="523D701C" w14:textId="77777777" w:rsidR="006A013B" w:rsidRDefault="00000000">
            <w:pPr>
              <w:spacing w:line="276" w:lineRule="auto"/>
              <w:jc w:val="both"/>
              <w:rPr>
                <w:rFonts w:ascii="Calibri" w:eastAsia="Calibri" w:hAnsi="Calibri" w:cs="Calibri"/>
              </w:rPr>
            </w:pPr>
            <w:r>
              <w:rPr>
                <w:rFonts w:ascii="Calibri" w:eastAsia="Calibri" w:hAnsi="Calibri" w:cs="Calibri"/>
              </w:rPr>
              <w:t xml:space="preserve">Many boys, facing underachievement in school, saw higher education as less viable, opting instead for </w:t>
            </w:r>
            <w:r>
              <w:rPr>
                <w:rFonts w:ascii="Calibri" w:eastAsia="Calibri" w:hAnsi="Calibri" w:cs="Calibri"/>
              </w:rPr>
              <w:t>aspirations in successful athletic careers or the military. The role models they identified were usually local rugby players, international athletes or celebrities who personified ideals of strength, aggression and success.</w:t>
            </w:r>
          </w:p>
          <w:p w14:paraId="1A02CB86" w14:textId="77777777" w:rsidR="006A013B" w:rsidRDefault="00000000">
            <w:pPr>
              <w:spacing w:before="200" w:line="276" w:lineRule="auto"/>
              <w:ind w:left="-15"/>
              <w:jc w:val="both"/>
              <w:rPr>
                <w:rFonts w:ascii="Calibri" w:eastAsia="Calibri" w:hAnsi="Calibri" w:cs="Calibri"/>
              </w:rPr>
            </w:pPr>
            <w:r>
              <w:rPr>
                <w:rFonts w:ascii="Calibri" w:eastAsia="Calibri" w:hAnsi="Calibri" w:cs="Calibri"/>
              </w:rPr>
              <w:t xml:space="preserve">Patterns of </w:t>
            </w:r>
            <w:proofErr w:type="spellStart"/>
            <w:r>
              <w:rPr>
                <w:rFonts w:ascii="Calibri" w:eastAsia="Calibri" w:hAnsi="Calibri" w:cs="Calibri"/>
              </w:rPr>
              <w:t>behavior</w:t>
            </w:r>
            <w:proofErr w:type="spellEnd"/>
            <w:r>
              <w:rPr>
                <w:rFonts w:ascii="Calibri" w:eastAsia="Calibri" w:hAnsi="Calibri" w:cs="Calibri"/>
              </w:rPr>
              <w:t xml:space="preserve"> that subordinated, discriminated against or ostracized boys were identified in this study. Verbal and physical abuse are ways in which boys face subordination by peers. A thriving roasting culture is present in schools that employ racial and homophobic slurs amongst other personal insults in game or play framework. Often these </w:t>
            </w:r>
            <w:proofErr w:type="spellStart"/>
            <w:r>
              <w:rPr>
                <w:rFonts w:ascii="Calibri" w:eastAsia="Calibri" w:hAnsi="Calibri" w:cs="Calibri"/>
              </w:rPr>
              <w:t>behaviors</w:t>
            </w:r>
            <w:proofErr w:type="spellEnd"/>
            <w:r>
              <w:rPr>
                <w:rFonts w:ascii="Calibri" w:eastAsia="Calibri" w:hAnsi="Calibri" w:cs="Calibri"/>
              </w:rPr>
              <w:t xml:space="preserve"> transcend the boundary of joking or play and take the form of targeted harassment and bullying. Boys identifying as gay or those with discernible feminine traits are commonly subjects of bullying and harassment by peers and wider society.</w:t>
            </w:r>
          </w:p>
          <w:p w14:paraId="784695FD" w14:textId="77777777" w:rsidR="006A013B" w:rsidRDefault="00000000">
            <w:pPr>
              <w:spacing w:before="200" w:line="276" w:lineRule="auto"/>
              <w:ind w:left="-15"/>
              <w:jc w:val="center"/>
              <w:rPr>
                <w:rFonts w:ascii="Calibri" w:eastAsia="Calibri" w:hAnsi="Calibri" w:cs="Calibri"/>
                <w:color w:val="006600"/>
              </w:rPr>
            </w:pPr>
            <w:r>
              <w:rPr>
                <w:rFonts w:ascii="Calibri" w:eastAsia="Calibri" w:hAnsi="Calibri" w:cs="Calibri"/>
                <w:color w:val="006600"/>
              </w:rPr>
              <w:t>“ If you are feminine you are treated like a parasite. We get so much hate. They swear at us, call us names, swear at our parents and sometimes they punch us”</w:t>
            </w:r>
          </w:p>
          <w:p w14:paraId="46F50199" w14:textId="77777777" w:rsidR="006A013B" w:rsidRDefault="00000000">
            <w:pPr>
              <w:spacing w:before="200" w:line="276" w:lineRule="auto"/>
              <w:ind w:left="-15"/>
              <w:jc w:val="center"/>
              <w:rPr>
                <w:rFonts w:ascii="Calibri" w:eastAsia="Calibri" w:hAnsi="Calibri" w:cs="Calibri"/>
              </w:rPr>
            </w:pPr>
            <w:r>
              <w:rPr>
                <w:rFonts w:ascii="Calibri" w:eastAsia="Calibri" w:hAnsi="Calibri" w:cs="Calibri"/>
              </w:rPr>
              <w:t>Indigenous Fijian Participant, 16  years</w:t>
            </w:r>
          </w:p>
          <w:p w14:paraId="64F463BE" w14:textId="77777777" w:rsidR="001E0D8E" w:rsidRDefault="001E0D8E" w:rsidP="001E0D8E">
            <w:pPr>
              <w:spacing w:line="276" w:lineRule="auto"/>
              <w:jc w:val="both"/>
              <w:rPr>
                <w:rFonts w:ascii="Calibri" w:eastAsia="Calibri" w:hAnsi="Calibri" w:cs="Calibri"/>
                <w:b/>
                <w:color w:val="006600"/>
              </w:rPr>
            </w:pPr>
          </w:p>
          <w:p w14:paraId="404B19A2" w14:textId="14C1AC1C" w:rsidR="006A013B" w:rsidRPr="001E0D8E" w:rsidRDefault="00000000" w:rsidP="001E0D8E">
            <w:pPr>
              <w:spacing w:line="276" w:lineRule="auto"/>
              <w:jc w:val="both"/>
              <w:rPr>
                <w:rFonts w:ascii="Calibri" w:eastAsia="Calibri" w:hAnsi="Calibri" w:cs="Calibri"/>
                <w:b/>
                <w:color w:val="006600"/>
              </w:rPr>
            </w:pPr>
            <w:r w:rsidRPr="001E0D8E">
              <w:rPr>
                <w:rFonts w:ascii="Calibri" w:eastAsia="Calibri" w:hAnsi="Calibri" w:cs="Calibri"/>
                <w:b/>
                <w:color w:val="006600"/>
              </w:rPr>
              <w:t>Recommendations</w:t>
            </w:r>
          </w:p>
          <w:p w14:paraId="1C232788" w14:textId="77777777" w:rsidR="006A013B" w:rsidRDefault="00000000">
            <w:pPr>
              <w:spacing w:line="276" w:lineRule="auto"/>
              <w:jc w:val="both"/>
              <w:rPr>
                <w:rFonts w:ascii="Calibri" w:eastAsia="Calibri" w:hAnsi="Calibri" w:cs="Calibri"/>
              </w:rPr>
            </w:pPr>
            <w:r>
              <w:rPr>
                <w:rFonts w:ascii="Calibri" w:eastAsia="Calibri" w:hAnsi="Calibri" w:cs="Calibri"/>
              </w:rPr>
              <w:t>The findings suggest that there are considerable opportunities for parents, schools, and development partners to collaborate with boys to promote emotional literacy, support non-heteronormative identities, and engage boys in discussions about gender, sexualities and various forms of masculinities.</w:t>
            </w:r>
          </w:p>
          <w:p w14:paraId="0BB0516B" w14:textId="77777777" w:rsidR="006A013B" w:rsidRDefault="006A013B">
            <w:pPr>
              <w:spacing w:line="276" w:lineRule="auto"/>
              <w:jc w:val="both"/>
              <w:rPr>
                <w:rFonts w:ascii="Calibri" w:eastAsia="Calibri" w:hAnsi="Calibri" w:cs="Calibri"/>
              </w:rPr>
            </w:pPr>
          </w:p>
          <w:p w14:paraId="06303484" w14:textId="77777777" w:rsidR="006A013B" w:rsidRDefault="00000000">
            <w:pPr>
              <w:spacing w:line="276" w:lineRule="auto"/>
              <w:jc w:val="both"/>
              <w:rPr>
                <w:rFonts w:ascii="Calibri" w:eastAsia="Calibri" w:hAnsi="Calibri" w:cs="Calibri"/>
              </w:rPr>
            </w:pPr>
            <w:r>
              <w:rPr>
                <w:rFonts w:ascii="Calibri" w:eastAsia="Calibri" w:hAnsi="Calibri" w:cs="Calibri"/>
              </w:rPr>
              <w:t>Collaboration by CSO’s and development agencies with schools can address both verbal and physical bullying, promote healthy communication among boys, and create non-competitive spaces for them to learn new skills, bond, and build positive male relationships. Facilitating the teaching of communication skills like compromise, negotiation, and discussion can help boys navigate their relationships while equipping them with non-violent conflict management techniques. This training can be particularly valuable for their interactions with women and girls.</w:t>
            </w:r>
          </w:p>
          <w:p w14:paraId="025B59BD" w14:textId="77777777" w:rsidR="006A013B" w:rsidRDefault="00000000">
            <w:pPr>
              <w:spacing w:before="240" w:after="240" w:line="276" w:lineRule="auto"/>
              <w:jc w:val="both"/>
              <w:rPr>
                <w:rFonts w:ascii="Calibri" w:eastAsia="Calibri" w:hAnsi="Calibri" w:cs="Calibri"/>
              </w:rPr>
            </w:pPr>
            <w:bookmarkStart w:id="4" w:name="_heading=h.35nkun2" w:colFirst="0" w:colLast="0"/>
            <w:bookmarkEnd w:id="4"/>
            <w:r>
              <w:rPr>
                <w:rFonts w:ascii="Calibri" w:eastAsia="Calibri" w:hAnsi="Calibri" w:cs="Calibri"/>
              </w:rPr>
              <w:t xml:space="preserve">Conversations about boys' mental health can be fostered by providing safe environments where they </w:t>
            </w:r>
            <w:r>
              <w:rPr>
                <w:rFonts w:ascii="Calibri" w:eastAsia="Calibri" w:hAnsi="Calibri" w:cs="Calibri"/>
              </w:rPr>
              <w:lastRenderedPageBreak/>
              <w:t xml:space="preserve">can express concerns, gain confidence, and develop empathy. Implementing school-based mental health programs that focus on early intervention, stigma reduction, and access to resources for boys can improve overall well-being. Offering resources and workshops for parents on understanding boys’ emotional and </w:t>
            </w:r>
            <w:proofErr w:type="spellStart"/>
            <w:r>
              <w:rPr>
                <w:rFonts w:ascii="Calibri" w:eastAsia="Calibri" w:hAnsi="Calibri" w:cs="Calibri"/>
              </w:rPr>
              <w:t>behavioral</w:t>
            </w:r>
            <w:proofErr w:type="spellEnd"/>
            <w:r>
              <w:rPr>
                <w:rFonts w:ascii="Calibri" w:eastAsia="Calibri" w:hAnsi="Calibri" w:cs="Calibri"/>
              </w:rPr>
              <w:t xml:space="preserve"> development can strengthen support systems. There is also a need for teaching strategies that recognize diverse learning styles which can enhance engagement and academic success for boys, including hands-on activities and collaborative projects.</w:t>
            </w:r>
          </w:p>
          <w:p w14:paraId="058E5A77" w14:textId="77777777" w:rsidR="006A013B" w:rsidRDefault="00000000">
            <w:pPr>
              <w:spacing w:before="240" w:after="240" w:line="276" w:lineRule="auto"/>
              <w:jc w:val="both"/>
              <w:rPr>
                <w:rFonts w:ascii="Calibri" w:eastAsia="Calibri" w:hAnsi="Calibri" w:cs="Calibri"/>
              </w:rPr>
            </w:pPr>
            <w:r>
              <w:rPr>
                <w:rFonts w:ascii="Calibri" w:eastAsia="Calibri" w:hAnsi="Calibri" w:cs="Calibri"/>
              </w:rPr>
              <w:t>Boys can benefit by guidance from male role models who embody positive, healthy and attainable standards of masculinity. Establishing mentorship initiatives can help guide them through challenges and promote healthy identity formation. While all schools have anti-bullying policies, programs and training can be provided to educators to address and identify specific challenges boys face to create inclusive and safer school environments.</w:t>
            </w:r>
          </w:p>
          <w:p w14:paraId="4131408E" w14:textId="77777777" w:rsidR="006A013B" w:rsidRDefault="006A013B">
            <w:pPr>
              <w:spacing w:before="240" w:after="240" w:line="276" w:lineRule="auto"/>
              <w:jc w:val="both"/>
              <w:rPr>
                <w:rFonts w:ascii="Calibri" w:eastAsia="Calibri" w:hAnsi="Calibri" w:cs="Calibri"/>
                <w:b/>
                <w:color w:val="006600"/>
              </w:rPr>
            </w:pPr>
          </w:p>
          <w:p w14:paraId="19865056" w14:textId="77777777" w:rsidR="006A013B" w:rsidRDefault="006A013B">
            <w:pPr>
              <w:spacing w:before="240" w:after="240" w:line="276" w:lineRule="auto"/>
              <w:jc w:val="both"/>
              <w:rPr>
                <w:rFonts w:ascii="Calibri" w:eastAsia="Calibri" w:hAnsi="Calibri" w:cs="Calibri"/>
                <w:b/>
                <w:color w:val="006600"/>
              </w:rPr>
            </w:pPr>
          </w:p>
          <w:p w14:paraId="50C4A5BE" w14:textId="77777777" w:rsidR="006A013B" w:rsidRDefault="006A013B">
            <w:pPr>
              <w:spacing w:before="240" w:after="240" w:line="276" w:lineRule="auto"/>
              <w:jc w:val="both"/>
              <w:rPr>
                <w:rFonts w:ascii="Calibri" w:eastAsia="Calibri" w:hAnsi="Calibri" w:cs="Calibri"/>
                <w:b/>
                <w:color w:val="006600"/>
              </w:rPr>
            </w:pPr>
          </w:p>
          <w:p w14:paraId="23175433" w14:textId="77777777" w:rsidR="006A013B" w:rsidRDefault="00000000">
            <w:pPr>
              <w:spacing w:before="240" w:after="240" w:line="276" w:lineRule="auto"/>
              <w:jc w:val="both"/>
              <w:rPr>
                <w:rFonts w:ascii="Calibri" w:eastAsia="Calibri" w:hAnsi="Calibri" w:cs="Calibri"/>
                <w:b/>
                <w:color w:val="006600"/>
              </w:rPr>
            </w:pPr>
            <w:r>
              <w:rPr>
                <w:rFonts w:ascii="Calibri" w:eastAsia="Calibri" w:hAnsi="Calibri" w:cs="Calibri"/>
                <w:b/>
                <w:color w:val="006600"/>
              </w:rPr>
              <w:t>Limitations and Further Research</w:t>
            </w:r>
          </w:p>
          <w:p w14:paraId="5105EAC3" w14:textId="77777777" w:rsidR="006A013B" w:rsidRDefault="00000000">
            <w:pPr>
              <w:spacing w:before="240" w:after="240" w:line="276" w:lineRule="auto"/>
              <w:jc w:val="both"/>
              <w:rPr>
                <w:rFonts w:ascii="Calibri" w:eastAsia="Calibri" w:hAnsi="Calibri" w:cs="Calibri"/>
              </w:rPr>
            </w:pPr>
            <w:r>
              <w:rPr>
                <w:rFonts w:ascii="Calibri" w:eastAsia="Calibri" w:hAnsi="Calibri" w:cs="Calibri"/>
              </w:rPr>
              <w:t>Working with children can provide opportunities to explore perspectives and experiences previously overlooked as children and adults interpret and experience the world in different ways. However, access to young people is typically mediated by adults. In this study, multiple layers of permission and approval were required before recruitment could occur, particularly for Indo-Fijian boys, where the process was more stringent. Additional research involving Fiji-Indian boys, as well as those from other ethnic groups and rural or outer island communities can enhance our understanding of how specific contexts shape their life experiences.</w:t>
            </w:r>
          </w:p>
          <w:p w14:paraId="6B0C2A8E" w14:textId="77777777" w:rsidR="006A013B" w:rsidRDefault="006A013B">
            <w:pPr>
              <w:spacing w:before="240" w:after="240" w:line="276" w:lineRule="auto"/>
              <w:jc w:val="both"/>
              <w:rPr>
                <w:rFonts w:ascii="Calibri" w:eastAsia="Calibri" w:hAnsi="Calibri" w:cs="Calibri"/>
              </w:rPr>
            </w:pPr>
          </w:p>
          <w:p w14:paraId="4CC9831F" w14:textId="77777777" w:rsidR="006A013B" w:rsidRDefault="006A013B">
            <w:pPr>
              <w:spacing w:before="200" w:line="276" w:lineRule="auto"/>
              <w:ind w:left="-15"/>
              <w:jc w:val="both"/>
              <w:rPr>
                <w:rFonts w:ascii="Calibri" w:eastAsia="Calibri" w:hAnsi="Calibri" w:cs="Calibri"/>
              </w:rPr>
            </w:pPr>
          </w:p>
          <w:p w14:paraId="69B807B6" w14:textId="77777777" w:rsidR="006A013B" w:rsidRDefault="006A013B">
            <w:pPr>
              <w:spacing w:before="240" w:after="240" w:line="276" w:lineRule="auto"/>
              <w:jc w:val="both"/>
              <w:rPr>
                <w:rFonts w:ascii="Calibri" w:eastAsia="Calibri" w:hAnsi="Calibri" w:cs="Calibri"/>
              </w:rPr>
            </w:pPr>
          </w:p>
          <w:p w14:paraId="540CCDF2" w14:textId="77777777" w:rsidR="006A013B" w:rsidRDefault="006A013B">
            <w:pPr>
              <w:spacing w:before="200" w:line="276" w:lineRule="auto"/>
              <w:ind w:left="-15"/>
              <w:jc w:val="both"/>
              <w:rPr>
                <w:rFonts w:ascii="Calibri" w:eastAsia="Calibri" w:hAnsi="Calibri" w:cs="Calibri"/>
              </w:rPr>
            </w:pPr>
          </w:p>
        </w:tc>
      </w:tr>
      <w:tr w:rsidR="006A013B" w14:paraId="48214914" w14:textId="77777777">
        <w:tc>
          <w:tcPr>
            <w:tcW w:w="5145" w:type="dxa"/>
          </w:tcPr>
          <w:p w14:paraId="2E3BD32E" w14:textId="77777777" w:rsidR="006A013B" w:rsidRDefault="006A013B">
            <w:pPr>
              <w:spacing w:before="200" w:line="276" w:lineRule="auto"/>
              <w:ind w:left="-15"/>
              <w:jc w:val="both"/>
              <w:rPr>
                <w:rFonts w:ascii="Calibri" w:eastAsia="Calibri" w:hAnsi="Calibri" w:cs="Calibri"/>
              </w:rPr>
            </w:pPr>
          </w:p>
        </w:tc>
      </w:tr>
      <w:tr w:rsidR="006A013B" w14:paraId="74B43320" w14:textId="77777777">
        <w:tc>
          <w:tcPr>
            <w:tcW w:w="5145" w:type="dxa"/>
          </w:tcPr>
          <w:p w14:paraId="3FFD550A" w14:textId="77777777" w:rsidR="006A013B" w:rsidRDefault="006A013B">
            <w:pPr>
              <w:pBdr>
                <w:top w:val="nil"/>
                <w:left w:val="nil"/>
                <w:bottom w:val="nil"/>
                <w:right w:val="nil"/>
                <w:between w:val="nil"/>
              </w:pBdr>
              <w:spacing w:line="276" w:lineRule="auto"/>
              <w:ind w:left="720" w:hanging="720"/>
              <w:rPr>
                <w:rFonts w:ascii="Calibri" w:eastAsia="Calibri" w:hAnsi="Calibri" w:cs="Calibri"/>
                <w:color w:val="000000"/>
              </w:rPr>
            </w:pPr>
          </w:p>
        </w:tc>
      </w:tr>
      <w:tr w:rsidR="006A013B" w14:paraId="4CD44198" w14:textId="77777777">
        <w:tc>
          <w:tcPr>
            <w:tcW w:w="5145" w:type="dxa"/>
          </w:tcPr>
          <w:p w14:paraId="401A524E" w14:textId="77777777" w:rsidR="006A013B" w:rsidRDefault="006A013B">
            <w:pPr>
              <w:pBdr>
                <w:top w:val="nil"/>
                <w:left w:val="nil"/>
                <w:bottom w:val="nil"/>
                <w:right w:val="nil"/>
                <w:between w:val="nil"/>
              </w:pBdr>
              <w:spacing w:line="276" w:lineRule="auto"/>
              <w:ind w:left="720" w:hanging="720"/>
              <w:rPr>
                <w:rFonts w:ascii="Calibri" w:eastAsia="Calibri" w:hAnsi="Calibri" w:cs="Calibri"/>
                <w:color w:val="000000"/>
              </w:rPr>
            </w:pPr>
          </w:p>
        </w:tc>
      </w:tr>
    </w:tbl>
    <w:p w14:paraId="05E53419" w14:textId="77777777" w:rsidR="006A013B" w:rsidRDefault="006A013B">
      <w:pPr>
        <w:pBdr>
          <w:top w:val="nil"/>
          <w:left w:val="nil"/>
          <w:bottom w:val="nil"/>
          <w:right w:val="nil"/>
          <w:between w:val="nil"/>
        </w:pBdr>
        <w:spacing w:after="240" w:line="276" w:lineRule="auto"/>
        <w:ind w:left="720" w:right="1134" w:hanging="720"/>
        <w:rPr>
          <w:rFonts w:ascii="Calibri" w:eastAsia="Calibri" w:hAnsi="Calibri" w:cs="Calibri"/>
          <w:b/>
          <w:color w:val="000000"/>
        </w:rPr>
        <w:sectPr w:rsidR="006A013B">
          <w:type w:val="continuous"/>
          <w:pgSz w:w="11907" w:h="16840"/>
          <w:pgMar w:top="1440" w:right="851" w:bottom="851" w:left="851" w:header="135" w:footer="0" w:gutter="0"/>
          <w:cols w:num="2" w:space="720" w:equalWidth="0">
            <w:col w:w="4742" w:space="720"/>
            <w:col w:w="4742" w:space="0"/>
          </w:cols>
          <w:titlePg/>
        </w:sectPr>
      </w:pPr>
    </w:p>
    <w:p w14:paraId="450C4852" w14:textId="77777777" w:rsidR="006A013B" w:rsidRDefault="006A013B">
      <w:pPr>
        <w:pBdr>
          <w:top w:val="nil"/>
          <w:left w:val="nil"/>
          <w:bottom w:val="nil"/>
          <w:right w:val="nil"/>
          <w:between w:val="nil"/>
        </w:pBdr>
        <w:spacing w:after="240" w:line="276" w:lineRule="auto"/>
        <w:ind w:right="1134"/>
        <w:rPr>
          <w:rFonts w:ascii="Calibri" w:eastAsia="Calibri" w:hAnsi="Calibri" w:cs="Calibri"/>
          <w:b/>
          <w:color w:val="864EA8"/>
        </w:rPr>
        <w:sectPr w:rsidR="006A013B">
          <w:headerReference w:type="default" r:id="rId18"/>
          <w:type w:val="continuous"/>
          <w:pgSz w:w="11907" w:h="16840"/>
          <w:pgMar w:top="1440" w:right="851" w:bottom="1440" w:left="851" w:header="0" w:footer="0" w:gutter="0"/>
          <w:cols w:space="720"/>
        </w:sectPr>
      </w:pPr>
    </w:p>
    <w:p w14:paraId="033F5632" w14:textId="77777777" w:rsidR="006A013B" w:rsidRDefault="00000000">
      <w:pPr>
        <w:pStyle w:val="Heading1"/>
        <w:spacing w:after="0" w:line="276" w:lineRule="auto"/>
        <w:jc w:val="both"/>
        <w:rPr>
          <w:rFonts w:ascii="Calibri" w:eastAsia="Calibri" w:hAnsi="Calibri" w:cs="Calibri"/>
          <w:b w:val="0"/>
          <w:color w:val="006600"/>
          <w:sz w:val="22"/>
        </w:rPr>
      </w:pPr>
      <w:bookmarkStart w:id="5" w:name="_heading=h.44sinio" w:colFirst="0" w:colLast="0"/>
      <w:bookmarkEnd w:id="5"/>
      <w:r>
        <w:rPr>
          <w:rFonts w:ascii="Calibri" w:eastAsia="Calibri" w:hAnsi="Calibri" w:cs="Calibri"/>
          <w:b w:val="0"/>
          <w:color w:val="006600"/>
          <w:sz w:val="22"/>
        </w:rPr>
        <w:lastRenderedPageBreak/>
        <w:t>References</w:t>
      </w:r>
    </w:p>
    <w:p w14:paraId="2FDA7EED" w14:textId="77777777" w:rsidR="006A013B" w:rsidRDefault="006A013B">
      <w:pPr>
        <w:rPr>
          <w:rFonts w:ascii="Calibri" w:eastAsia="Calibri" w:hAnsi="Calibri" w:cs="Calibri"/>
        </w:rPr>
      </w:pPr>
    </w:p>
    <w:p w14:paraId="6C441DDE" w14:textId="77777777" w:rsidR="006A013B" w:rsidRDefault="00000000">
      <w:pPr>
        <w:spacing w:line="276" w:lineRule="auto"/>
        <w:jc w:val="both"/>
        <w:rPr>
          <w:rFonts w:ascii="Calibri" w:eastAsia="Calibri" w:hAnsi="Calibri" w:cs="Calibri"/>
        </w:rPr>
      </w:pPr>
      <w:r>
        <w:rPr>
          <w:rFonts w:ascii="Calibri" w:eastAsia="Calibri" w:hAnsi="Calibri" w:cs="Calibri"/>
          <w:color w:val="1A1A1A"/>
          <w:highlight w:val="white"/>
        </w:rPr>
        <w:t xml:space="preserve">Britannica, T. (2023). Editors of Encyclopaedia, </w:t>
      </w:r>
      <w:r>
        <w:rPr>
          <w:rFonts w:ascii="Calibri" w:eastAsia="Calibri" w:hAnsi="Calibri" w:cs="Calibri"/>
          <w:i/>
          <w:color w:val="1A1A1A"/>
          <w:highlight w:val="white"/>
        </w:rPr>
        <w:t xml:space="preserve">Viti </w:t>
      </w:r>
      <w:proofErr w:type="spellStart"/>
      <w:r>
        <w:rPr>
          <w:rFonts w:ascii="Calibri" w:eastAsia="Calibri" w:hAnsi="Calibri" w:cs="Calibri"/>
          <w:i/>
          <w:color w:val="1A1A1A"/>
          <w:highlight w:val="white"/>
        </w:rPr>
        <w:t>Levu</w:t>
      </w:r>
      <w:proofErr w:type="spellEnd"/>
      <w:r>
        <w:rPr>
          <w:rFonts w:ascii="Calibri" w:eastAsia="Calibri" w:hAnsi="Calibri" w:cs="Calibri"/>
          <w:color w:val="1A1A1A"/>
          <w:highlight w:val="white"/>
        </w:rPr>
        <w:t xml:space="preserve">. </w:t>
      </w:r>
      <w:proofErr w:type="spellStart"/>
      <w:r>
        <w:rPr>
          <w:rFonts w:ascii="Calibri" w:eastAsia="Calibri" w:hAnsi="Calibri" w:cs="Calibri"/>
          <w:color w:val="1A1A1A"/>
          <w:highlight w:val="white"/>
        </w:rPr>
        <w:t>Encyclopedia</w:t>
      </w:r>
      <w:proofErr w:type="spellEnd"/>
      <w:r>
        <w:rPr>
          <w:rFonts w:ascii="Calibri" w:eastAsia="Calibri" w:hAnsi="Calibri" w:cs="Calibri"/>
          <w:color w:val="1A1A1A"/>
          <w:highlight w:val="white"/>
        </w:rPr>
        <w:t xml:space="preserve"> Britannica [Online]. 14 September. </w:t>
      </w:r>
      <w:hyperlink r:id="rId19">
        <w:r>
          <w:rPr>
            <w:rFonts w:ascii="Calibri" w:eastAsia="Calibri" w:hAnsi="Calibri" w:cs="Calibri"/>
            <w:color w:val="1155CC"/>
            <w:highlight w:val="white"/>
            <w:u w:val="single"/>
          </w:rPr>
          <w:t>https://www.britannica.com/place/Viti-Levu</w:t>
        </w:r>
      </w:hyperlink>
    </w:p>
    <w:p w14:paraId="0C3AC157" w14:textId="77777777" w:rsidR="006A013B" w:rsidRDefault="006A013B">
      <w:pPr>
        <w:spacing w:line="276" w:lineRule="auto"/>
        <w:rPr>
          <w:rFonts w:ascii="Calibri" w:eastAsia="Calibri" w:hAnsi="Calibri" w:cs="Calibri"/>
        </w:rPr>
      </w:pPr>
    </w:p>
    <w:p w14:paraId="4517EB77" w14:textId="77777777" w:rsidR="006A013B" w:rsidRDefault="00000000">
      <w:pPr>
        <w:spacing w:after="160" w:line="276" w:lineRule="auto"/>
        <w:rPr>
          <w:rFonts w:ascii="Calibri" w:eastAsia="Calibri" w:hAnsi="Calibri" w:cs="Calibri"/>
        </w:rPr>
      </w:pPr>
      <w:proofErr w:type="spellStart"/>
      <w:r>
        <w:rPr>
          <w:rFonts w:ascii="Calibri" w:eastAsia="Calibri" w:hAnsi="Calibri" w:cs="Calibri"/>
        </w:rPr>
        <w:t>Chanel,S</w:t>
      </w:r>
      <w:proofErr w:type="spellEnd"/>
      <w:r>
        <w:rPr>
          <w:rFonts w:ascii="Calibri" w:eastAsia="Calibri" w:hAnsi="Calibri" w:cs="Calibri"/>
        </w:rPr>
        <w:t xml:space="preserve">. (2020). </w:t>
      </w:r>
      <w:r>
        <w:rPr>
          <w:rFonts w:ascii="Calibri" w:eastAsia="Calibri" w:hAnsi="Calibri" w:cs="Calibri"/>
          <w:i/>
          <w:color w:val="121212"/>
        </w:rPr>
        <w:t>Horrific viral video reveals 'crisis' of school bullying in Fiji</w:t>
      </w:r>
      <w:r>
        <w:rPr>
          <w:rFonts w:ascii="Calibri" w:eastAsia="Calibri" w:hAnsi="Calibri" w:cs="Calibri"/>
        </w:rPr>
        <w:t xml:space="preserve">, The Guardian [Online],10  March. </w:t>
      </w:r>
      <w:hyperlink r:id="rId20">
        <w:r>
          <w:rPr>
            <w:rFonts w:ascii="Calibri" w:eastAsia="Calibri" w:hAnsi="Calibri" w:cs="Calibri"/>
            <w:color w:val="1155CC"/>
            <w:u w:val="single"/>
          </w:rPr>
          <w:t>https://www.theguardian.com/world/2020/mar/10/horrific-viral-video-reveals-crisis-of-school-bullying-in-fiji</w:t>
        </w:r>
      </w:hyperlink>
      <w:r>
        <w:rPr>
          <w:rFonts w:ascii="Calibri" w:eastAsia="Calibri" w:hAnsi="Calibri" w:cs="Calibri"/>
        </w:rPr>
        <w:t xml:space="preserve">  </w:t>
      </w:r>
    </w:p>
    <w:p w14:paraId="41B10B4C" w14:textId="77777777" w:rsidR="006A013B" w:rsidRDefault="00000000">
      <w:pPr>
        <w:spacing w:line="276" w:lineRule="auto"/>
        <w:jc w:val="both"/>
        <w:rPr>
          <w:rFonts w:ascii="Calibri" w:eastAsia="Calibri" w:hAnsi="Calibri" w:cs="Calibri"/>
        </w:rPr>
      </w:pPr>
      <w:r>
        <w:rPr>
          <w:rFonts w:ascii="Calibri" w:eastAsia="Calibri" w:hAnsi="Calibri" w:cs="Calibri"/>
        </w:rPr>
        <w:t xml:space="preserve">Kumar, K. (2024). </w:t>
      </w:r>
      <w:r>
        <w:rPr>
          <w:rFonts w:ascii="Calibri" w:eastAsia="Calibri" w:hAnsi="Calibri" w:cs="Calibri"/>
          <w:i/>
        </w:rPr>
        <w:t>Increase in Drug Abuse Cases in Schools,</w:t>
      </w:r>
      <w:r>
        <w:rPr>
          <w:rFonts w:ascii="Calibri" w:eastAsia="Calibri" w:hAnsi="Calibri" w:cs="Calibri"/>
        </w:rPr>
        <w:t xml:space="preserve"> FBC News [Online], 16th May. </w:t>
      </w:r>
      <w:hyperlink r:id="rId21">
        <w:r>
          <w:rPr>
            <w:rFonts w:ascii="Calibri" w:eastAsia="Calibri" w:hAnsi="Calibri" w:cs="Calibri"/>
            <w:color w:val="1155CC"/>
            <w:u w:val="single"/>
          </w:rPr>
          <w:t>https://www.fbcnews.com.fj/news/drug-abuse-cases-incr</w:t>
        </w:r>
      </w:hyperlink>
      <w:hyperlink r:id="rId22">
        <w:r>
          <w:rPr>
            <w:rFonts w:ascii="Calibri" w:eastAsia="Calibri" w:hAnsi="Calibri" w:cs="Calibri"/>
            <w:color w:val="1155CC"/>
            <w:u w:val="single"/>
          </w:rPr>
          <w:t>ease/</w:t>
        </w:r>
      </w:hyperlink>
    </w:p>
    <w:p w14:paraId="400B3EFF" w14:textId="77777777" w:rsidR="006A013B" w:rsidRDefault="006A013B">
      <w:pPr>
        <w:spacing w:line="276" w:lineRule="auto"/>
        <w:jc w:val="both"/>
        <w:rPr>
          <w:rFonts w:ascii="Calibri" w:eastAsia="Calibri" w:hAnsi="Calibri" w:cs="Calibri"/>
        </w:rPr>
      </w:pPr>
    </w:p>
    <w:p w14:paraId="0A7C950E" w14:textId="77777777" w:rsidR="006A013B" w:rsidRDefault="00000000">
      <w:pPr>
        <w:spacing w:line="276" w:lineRule="auto"/>
        <w:jc w:val="both"/>
        <w:rPr>
          <w:rFonts w:ascii="Calibri" w:eastAsia="Calibri" w:hAnsi="Calibri" w:cs="Calibri"/>
        </w:rPr>
      </w:pPr>
      <w:proofErr w:type="spellStart"/>
      <w:r>
        <w:rPr>
          <w:rFonts w:ascii="Calibri" w:eastAsia="Calibri" w:hAnsi="Calibri" w:cs="Calibri"/>
        </w:rPr>
        <w:t>Korobiau</w:t>
      </w:r>
      <w:proofErr w:type="spellEnd"/>
      <w:r>
        <w:rPr>
          <w:rFonts w:ascii="Calibri" w:eastAsia="Calibri" w:hAnsi="Calibri" w:cs="Calibri"/>
        </w:rPr>
        <w:t xml:space="preserve">, S. (2024). </w:t>
      </w:r>
      <w:r>
        <w:rPr>
          <w:rFonts w:ascii="Calibri" w:eastAsia="Calibri" w:hAnsi="Calibri" w:cs="Calibri"/>
          <w:i/>
        </w:rPr>
        <w:t>More Men Commit Suicide than Females</w:t>
      </w:r>
      <w:r>
        <w:rPr>
          <w:rFonts w:ascii="Calibri" w:eastAsia="Calibri" w:hAnsi="Calibri" w:cs="Calibri"/>
        </w:rPr>
        <w:t xml:space="preserve">, Fiji Sun [Online], 27 May. </w:t>
      </w:r>
      <w:hyperlink r:id="rId23">
        <w:r>
          <w:rPr>
            <w:rFonts w:ascii="Calibri" w:eastAsia="Calibri" w:hAnsi="Calibri" w:cs="Calibri"/>
            <w:color w:val="1155CC"/>
            <w:u w:val="single"/>
          </w:rPr>
          <w:t>https://fijisun.com.fj/2024/05/27/more-males-commit-suicide-than-females/</w:t>
        </w:r>
      </w:hyperlink>
      <w:r>
        <w:rPr>
          <w:rFonts w:ascii="Calibri" w:eastAsia="Calibri" w:hAnsi="Calibri" w:cs="Calibri"/>
        </w:rPr>
        <w:t xml:space="preserve"> </w:t>
      </w:r>
    </w:p>
    <w:p w14:paraId="686EFA72" w14:textId="77777777" w:rsidR="006A013B" w:rsidRDefault="006A013B">
      <w:pPr>
        <w:spacing w:line="276" w:lineRule="auto"/>
        <w:jc w:val="both"/>
        <w:rPr>
          <w:rFonts w:ascii="Calibri" w:eastAsia="Calibri" w:hAnsi="Calibri" w:cs="Calibri"/>
        </w:rPr>
      </w:pPr>
    </w:p>
    <w:p w14:paraId="048AE8BF" w14:textId="77777777" w:rsidR="006A013B" w:rsidRDefault="00000000">
      <w:pPr>
        <w:spacing w:line="276" w:lineRule="auto"/>
        <w:jc w:val="both"/>
        <w:rPr>
          <w:rFonts w:ascii="Calibri" w:eastAsia="Calibri" w:hAnsi="Calibri" w:cs="Calibri"/>
          <w:highlight w:val="white"/>
        </w:rPr>
      </w:pPr>
      <w:r>
        <w:rPr>
          <w:rFonts w:ascii="Calibri" w:eastAsia="Calibri" w:hAnsi="Calibri" w:cs="Calibri"/>
          <w:highlight w:val="white"/>
        </w:rPr>
        <w:t xml:space="preserve">Mac an </w:t>
      </w:r>
      <w:proofErr w:type="spellStart"/>
      <w:r>
        <w:rPr>
          <w:rFonts w:ascii="Calibri" w:eastAsia="Calibri" w:hAnsi="Calibri" w:cs="Calibri"/>
          <w:highlight w:val="white"/>
        </w:rPr>
        <w:t>Ghaill</w:t>
      </w:r>
      <w:proofErr w:type="spellEnd"/>
      <w:r>
        <w:rPr>
          <w:rFonts w:ascii="Calibri" w:eastAsia="Calibri" w:hAnsi="Calibri" w:cs="Calibri"/>
          <w:highlight w:val="white"/>
        </w:rPr>
        <w:t>, M. (1994). The making of men: Masculinities, sexualities and schooling. Buckingham: Open University Press.</w:t>
      </w:r>
    </w:p>
    <w:p w14:paraId="600F8821" w14:textId="77777777" w:rsidR="006A013B" w:rsidRDefault="006A013B">
      <w:pPr>
        <w:spacing w:line="276" w:lineRule="auto"/>
        <w:jc w:val="both"/>
        <w:rPr>
          <w:rFonts w:ascii="Calibri" w:eastAsia="Calibri" w:hAnsi="Calibri" w:cs="Calibri"/>
          <w:highlight w:val="white"/>
        </w:rPr>
      </w:pPr>
    </w:p>
    <w:p w14:paraId="4EE6424A" w14:textId="77777777" w:rsidR="006A013B" w:rsidRDefault="00000000">
      <w:pPr>
        <w:spacing w:line="276" w:lineRule="auto"/>
        <w:jc w:val="both"/>
        <w:rPr>
          <w:rFonts w:ascii="Calibri" w:eastAsia="Calibri" w:hAnsi="Calibri" w:cs="Calibri"/>
          <w:highlight w:val="white"/>
        </w:rPr>
      </w:pPr>
      <w:proofErr w:type="spellStart"/>
      <w:r>
        <w:rPr>
          <w:rFonts w:ascii="Calibri" w:eastAsia="Calibri" w:hAnsi="Calibri" w:cs="Calibri"/>
          <w:highlight w:val="white"/>
        </w:rPr>
        <w:t>Nasiko</w:t>
      </w:r>
      <w:proofErr w:type="spellEnd"/>
      <w:r>
        <w:rPr>
          <w:rFonts w:ascii="Calibri" w:eastAsia="Calibri" w:hAnsi="Calibri" w:cs="Calibri"/>
          <w:highlight w:val="white"/>
        </w:rPr>
        <w:t>, R. (2023). Alarming dropout rates and learning gaps revealed. Kaila News [Online].</w:t>
      </w:r>
      <w:hyperlink r:id="rId24">
        <w:r>
          <w:rPr>
            <w:rFonts w:ascii="Calibri" w:eastAsia="Calibri" w:hAnsi="Calibri" w:cs="Calibri"/>
            <w:highlight w:val="white"/>
          </w:rPr>
          <w:t xml:space="preserve"> </w:t>
        </w:r>
      </w:hyperlink>
      <w:r>
        <w:rPr>
          <w:rFonts w:ascii="Calibri" w:eastAsia="Calibri" w:hAnsi="Calibri" w:cs="Calibri"/>
          <w:highlight w:val="white"/>
        </w:rPr>
        <w:t xml:space="preserve">September 21. </w:t>
      </w:r>
      <w:hyperlink r:id="rId25">
        <w:r>
          <w:rPr>
            <w:rFonts w:ascii="Calibri" w:eastAsia="Calibri" w:hAnsi="Calibri" w:cs="Calibri"/>
            <w:color w:val="1155CC"/>
            <w:highlight w:val="white"/>
            <w:u w:val="single"/>
          </w:rPr>
          <w:t>https://www.fijitimes.com.fj/alarming-dropout-rates-and-learning-gaps-revealed/</w:t>
        </w:r>
      </w:hyperlink>
    </w:p>
    <w:p w14:paraId="7289E4BA" w14:textId="77777777" w:rsidR="006A013B" w:rsidRDefault="006A013B">
      <w:pPr>
        <w:spacing w:line="276" w:lineRule="auto"/>
        <w:jc w:val="both"/>
        <w:rPr>
          <w:rFonts w:ascii="Calibri" w:eastAsia="Calibri" w:hAnsi="Calibri" w:cs="Calibri"/>
          <w:highlight w:val="white"/>
        </w:rPr>
      </w:pPr>
    </w:p>
    <w:p w14:paraId="2F18973A" w14:textId="77777777" w:rsidR="006A013B" w:rsidRDefault="00000000">
      <w:pPr>
        <w:spacing w:line="276" w:lineRule="auto"/>
        <w:jc w:val="both"/>
        <w:rPr>
          <w:rFonts w:ascii="Calibri" w:eastAsia="Calibri" w:hAnsi="Calibri" w:cs="Calibri"/>
          <w:highlight w:val="white"/>
        </w:rPr>
      </w:pPr>
      <w:proofErr w:type="spellStart"/>
      <w:r>
        <w:rPr>
          <w:rFonts w:ascii="Calibri" w:eastAsia="Calibri" w:hAnsi="Calibri" w:cs="Calibri"/>
          <w:highlight w:val="white"/>
        </w:rPr>
        <w:t>Naikaso</w:t>
      </w:r>
      <w:proofErr w:type="spellEnd"/>
      <w:r>
        <w:rPr>
          <w:rFonts w:ascii="Calibri" w:eastAsia="Calibri" w:hAnsi="Calibri" w:cs="Calibri"/>
          <w:highlight w:val="white"/>
        </w:rPr>
        <w:t>, F. (2023). Huge number of boys dropping out of school. FBC News [Online].</w:t>
      </w:r>
      <w:hyperlink r:id="rId26">
        <w:r>
          <w:rPr>
            <w:rFonts w:ascii="Calibri" w:eastAsia="Calibri" w:hAnsi="Calibri" w:cs="Calibri"/>
            <w:highlight w:val="white"/>
          </w:rPr>
          <w:t xml:space="preserve"> </w:t>
        </w:r>
      </w:hyperlink>
      <w:r>
        <w:rPr>
          <w:rFonts w:ascii="Calibri" w:eastAsia="Calibri" w:hAnsi="Calibri" w:cs="Calibri"/>
          <w:highlight w:val="white"/>
        </w:rPr>
        <w:t xml:space="preserve">September 20. </w:t>
      </w:r>
      <w:hyperlink r:id="rId27">
        <w:r>
          <w:rPr>
            <w:rFonts w:ascii="Calibri" w:eastAsia="Calibri" w:hAnsi="Calibri" w:cs="Calibri"/>
            <w:color w:val="1155CC"/>
            <w:highlight w:val="white"/>
            <w:u w:val="single"/>
          </w:rPr>
          <w:t>https://www.fbcnews.com.fj/news/education/huge-number-of-boys-dropping-out-of-school/</w:t>
        </w:r>
      </w:hyperlink>
    </w:p>
    <w:p w14:paraId="5D6E5606" w14:textId="77777777" w:rsidR="006A013B" w:rsidRDefault="006A013B">
      <w:pPr>
        <w:spacing w:line="276" w:lineRule="auto"/>
        <w:jc w:val="both"/>
        <w:rPr>
          <w:rFonts w:ascii="Calibri" w:eastAsia="Calibri" w:hAnsi="Calibri" w:cs="Calibri"/>
        </w:rPr>
      </w:pPr>
    </w:p>
    <w:p w14:paraId="6CE708BB" w14:textId="77777777" w:rsidR="006A013B" w:rsidRDefault="00000000">
      <w:pPr>
        <w:spacing w:line="276" w:lineRule="auto"/>
        <w:jc w:val="both"/>
        <w:rPr>
          <w:rFonts w:ascii="Calibri" w:eastAsia="Calibri" w:hAnsi="Calibri" w:cs="Calibri"/>
        </w:rPr>
      </w:pPr>
      <w:proofErr w:type="spellStart"/>
      <w:r>
        <w:rPr>
          <w:rFonts w:ascii="Calibri" w:eastAsia="Calibri" w:hAnsi="Calibri" w:cs="Calibri"/>
        </w:rPr>
        <w:t>Paechter</w:t>
      </w:r>
      <w:proofErr w:type="spellEnd"/>
      <w:r>
        <w:rPr>
          <w:rFonts w:ascii="Calibri" w:eastAsia="Calibri" w:hAnsi="Calibri" w:cs="Calibri"/>
        </w:rPr>
        <w:t xml:space="preserve">, C. F. (2007). </w:t>
      </w:r>
      <w:r>
        <w:rPr>
          <w:rFonts w:ascii="Calibri" w:eastAsia="Calibri" w:hAnsi="Calibri" w:cs="Calibri"/>
          <w:i/>
        </w:rPr>
        <w:t>Being boys, being girls : learning masculinities and femininities</w:t>
      </w:r>
      <w:r>
        <w:rPr>
          <w:rFonts w:ascii="Calibri" w:eastAsia="Calibri" w:hAnsi="Calibri" w:cs="Calibri"/>
        </w:rPr>
        <w:t>. Open University Press.</w:t>
      </w:r>
    </w:p>
    <w:p w14:paraId="7646E4FE" w14:textId="77777777" w:rsidR="006A013B" w:rsidRDefault="006A013B">
      <w:pPr>
        <w:spacing w:line="276" w:lineRule="auto"/>
        <w:jc w:val="both"/>
        <w:rPr>
          <w:rFonts w:ascii="Calibri" w:eastAsia="Calibri" w:hAnsi="Calibri" w:cs="Calibri"/>
        </w:rPr>
      </w:pPr>
    </w:p>
    <w:p w14:paraId="18CBD63E" w14:textId="77777777" w:rsidR="006A013B" w:rsidRDefault="00000000">
      <w:pPr>
        <w:spacing w:line="276" w:lineRule="auto"/>
        <w:rPr>
          <w:rFonts w:ascii="Calibri" w:eastAsia="Calibri" w:hAnsi="Calibri" w:cs="Calibri"/>
        </w:rPr>
      </w:pPr>
      <w:proofErr w:type="spellStart"/>
      <w:r>
        <w:rPr>
          <w:rFonts w:ascii="Calibri" w:eastAsia="Calibri" w:hAnsi="Calibri" w:cs="Calibri"/>
        </w:rPr>
        <w:t>Prasad,S.S</w:t>
      </w:r>
      <w:proofErr w:type="spellEnd"/>
      <w:r>
        <w:rPr>
          <w:rFonts w:ascii="Calibri" w:eastAsia="Calibri" w:hAnsi="Calibri" w:cs="Calibri"/>
        </w:rPr>
        <w:t xml:space="preserve">. (2023).  Bullying on the rise in Schools, FBC News [Online], 8th October. </w:t>
      </w:r>
      <w:hyperlink r:id="rId28">
        <w:r>
          <w:rPr>
            <w:rFonts w:ascii="Calibri" w:eastAsia="Calibri" w:hAnsi="Calibri" w:cs="Calibri"/>
            <w:color w:val="1155CC"/>
            <w:u w:val="single"/>
          </w:rPr>
          <w:t>https://www.fbcnews.com.fj/news/education/bullying-on-rise-in-schools/</w:t>
        </w:r>
      </w:hyperlink>
    </w:p>
    <w:p w14:paraId="5EE6C6A3" w14:textId="77777777" w:rsidR="006A013B" w:rsidRDefault="006A013B">
      <w:pPr>
        <w:spacing w:after="160" w:line="276" w:lineRule="auto"/>
        <w:jc w:val="both"/>
        <w:rPr>
          <w:rFonts w:ascii="Calibri" w:eastAsia="Calibri" w:hAnsi="Calibri" w:cs="Calibri"/>
        </w:rPr>
      </w:pPr>
    </w:p>
    <w:p w14:paraId="565F4B4E" w14:textId="77777777" w:rsidR="006A013B" w:rsidRDefault="00000000">
      <w:pPr>
        <w:spacing w:after="160" w:line="276" w:lineRule="auto"/>
        <w:jc w:val="both"/>
        <w:rPr>
          <w:rFonts w:ascii="Calibri" w:eastAsia="Calibri" w:hAnsi="Calibri" w:cs="Calibri"/>
        </w:rPr>
      </w:pPr>
      <w:proofErr w:type="spellStart"/>
      <w:r>
        <w:rPr>
          <w:rFonts w:ascii="Calibri" w:eastAsia="Calibri" w:hAnsi="Calibri" w:cs="Calibri"/>
          <w:highlight w:val="white"/>
        </w:rPr>
        <w:t>Reigeluth</w:t>
      </w:r>
      <w:proofErr w:type="spellEnd"/>
      <w:r>
        <w:rPr>
          <w:rFonts w:ascii="Calibri" w:eastAsia="Calibri" w:hAnsi="Calibri" w:cs="Calibri"/>
          <w:highlight w:val="white"/>
        </w:rPr>
        <w:t xml:space="preserve">, C. S., &amp; Addis, M. E. (2016). Adolescent Boys’ Experiences </w:t>
      </w:r>
      <w:proofErr w:type="gramStart"/>
      <w:r>
        <w:rPr>
          <w:rFonts w:ascii="Calibri" w:eastAsia="Calibri" w:hAnsi="Calibri" w:cs="Calibri"/>
          <w:highlight w:val="white"/>
        </w:rPr>
        <w:t>With</w:t>
      </w:r>
      <w:proofErr w:type="gramEnd"/>
      <w:r>
        <w:rPr>
          <w:rFonts w:ascii="Calibri" w:eastAsia="Calibri" w:hAnsi="Calibri" w:cs="Calibri"/>
          <w:highlight w:val="white"/>
        </w:rPr>
        <w:t xml:space="preserve"> Policing of Masculinity: Forms, Functions, and Consequences. </w:t>
      </w:r>
      <w:r>
        <w:rPr>
          <w:rFonts w:ascii="Calibri" w:eastAsia="Calibri" w:hAnsi="Calibri" w:cs="Calibri"/>
          <w:i/>
          <w:highlight w:val="white"/>
        </w:rPr>
        <w:t>Psychology of Men &amp; Masculinity</w:t>
      </w:r>
      <w:r>
        <w:rPr>
          <w:rFonts w:ascii="Calibri" w:eastAsia="Calibri" w:hAnsi="Calibri" w:cs="Calibri"/>
          <w:highlight w:val="white"/>
        </w:rPr>
        <w:t xml:space="preserve">, </w:t>
      </w:r>
      <w:r>
        <w:rPr>
          <w:rFonts w:ascii="Calibri" w:eastAsia="Calibri" w:hAnsi="Calibri" w:cs="Calibri"/>
          <w:i/>
          <w:highlight w:val="white"/>
        </w:rPr>
        <w:t>17</w:t>
      </w:r>
      <w:r>
        <w:rPr>
          <w:rFonts w:ascii="Calibri" w:eastAsia="Calibri" w:hAnsi="Calibri" w:cs="Calibri"/>
          <w:highlight w:val="white"/>
        </w:rPr>
        <w:t>(1), 74–83. https://doi.org/10.1037/a0039342</w:t>
      </w:r>
    </w:p>
    <w:p w14:paraId="20D8E55A" w14:textId="77777777" w:rsidR="006A013B" w:rsidRDefault="006A013B">
      <w:pPr>
        <w:spacing w:line="276" w:lineRule="auto"/>
        <w:jc w:val="both"/>
        <w:rPr>
          <w:rFonts w:ascii="Calibri" w:eastAsia="Calibri" w:hAnsi="Calibri" w:cs="Calibri"/>
          <w:highlight w:val="white"/>
        </w:rPr>
      </w:pPr>
    </w:p>
    <w:p w14:paraId="3BE36465" w14:textId="77777777" w:rsidR="006A013B" w:rsidRDefault="006A013B">
      <w:pPr>
        <w:pStyle w:val="Heading3"/>
        <w:spacing w:line="276" w:lineRule="auto"/>
        <w:jc w:val="left"/>
        <w:rPr>
          <w:rFonts w:ascii="Calibri" w:eastAsia="Calibri" w:hAnsi="Calibri" w:cs="Calibri"/>
          <w:sz w:val="22"/>
        </w:rPr>
        <w:sectPr w:rsidR="006A013B">
          <w:pgSz w:w="11907" w:h="16840"/>
          <w:pgMar w:top="851" w:right="851" w:bottom="1021" w:left="851" w:header="0" w:footer="0" w:gutter="0"/>
          <w:cols w:space="720"/>
        </w:sectPr>
      </w:pPr>
    </w:p>
    <w:p w14:paraId="1D8F4119" w14:textId="77777777" w:rsidR="006A013B" w:rsidRDefault="006A013B">
      <w:pPr>
        <w:pStyle w:val="Heading3"/>
        <w:spacing w:after="0" w:line="276" w:lineRule="auto"/>
        <w:jc w:val="left"/>
        <w:rPr>
          <w:rFonts w:ascii="Calibri" w:eastAsia="Calibri" w:hAnsi="Calibri" w:cs="Calibri"/>
          <w:sz w:val="22"/>
        </w:rPr>
      </w:pPr>
    </w:p>
    <w:sectPr w:rsidR="006A013B">
      <w:type w:val="continuous"/>
      <w:pgSz w:w="11907" w:h="16840"/>
      <w:pgMar w:top="720" w:right="720" w:bottom="720" w:left="720" w:header="567" w:footer="0" w:gutter="0"/>
      <w:cols w:num="2" w:space="720" w:equalWidth="0">
        <w:col w:w="4873" w:space="720"/>
        <w:col w:w="4873"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05F4D" w14:textId="77777777" w:rsidR="00CC28EB" w:rsidRDefault="00CC28EB">
      <w:r>
        <w:separator/>
      </w:r>
    </w:p>
  </w:endnote>
  <w:endnote w:type="continuationSeparator" w:id="0">
    <w:p w14:paraId="65531B45" w14:textId="77777777" w:rsidR="00CC28EB" w:rsidRDefault="00CC2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17CC13-A8F4-42E0-A031-24E6E012D5F1}"/>
    <w:embedBold r:id="rId2" w:fontKey="{AC0424A2-7374-4B0E-A37E-9637AAFCC8FF}"/>
    <w:embedItalic r:id="rId3" w:fontKey="{0B15A0B4-5166-485E-9487-6C7F091F25B1}"/>
    <w:embedBoldItalic r:id="rId4" w:fontKey="{AA54DDAB-8CAF-4D57-B7CA-07F1078B185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5" w:fontKey="{BEFF7055-0D83-4533-8952-91087E2F6B57}"/>
    <w:embedItalic r:id="rId6" w:fontKey="{156CD6DA-9B73-42D0-8521-193BE158C93C}"/>
  </w:font>
  <w:font w:name="Calibri">
    <w:panose1 w:val="020F0502020204030204"/>
    <w:charset w:val="00"/>
    <w:family w:val="swiss"/>
    <w:pitch w:val="variable"/>
    <w:sig w:usb0="E4002EFF" w:usb1="C000247B" w:usb2="00000009" w:usb3="00000000" w:csb0="000001FF" w:csb1="00000000"/>
    <w:embedRegular r:id="rId7" w:fontKey="{13B0FF53-7DE3-4D82-A300-C1194E346886}"/>
    <w:embedBold r:id="rId8" w:fontKey="{CBA416AC-55B7-40DB-9433-0E3E7EDF6455}"/>
    <w:embedItalic r:id="rId9" w:fontKey="{AAFDAE2C-B184-4DC8-9A66-A4B674688A35}"/>
    <w:embedBoldItalic r:id="rId10" w:fontKey="{2EA993BA-440E-4531-B47D-F6DF1BFDAA15}"/>
  </w:font>
  <w:font w:name="Cambria">
    <w:panose1 w:val="02040503050406030204"/>
    <w:charset w:val="00"/>
    <w:family w:val="roman"/>
    <w:pitch w:val="variable"/>
    <w:sig w:usb0="E00006FF" w:usb1="420024FF" w:usb2="02000000" w:usb3="00000000" w:csb0="0000019F" w:csb1="00000000"/>
    <w:embedRegular r:id="rId11" w:fontKey="{7ABC936A-6ADF-429A-9969-F56CBD5C8AFF}"/>
    <w:embedBold r:id="rId12" w:fontKey="{D400AA0C-7A93-4299-B589-FED673362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8F52B" w14:textId="77777777" w:rsidR="006A013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9239BB" w14:textId="77777777" w:rsidR="006A013B" w:rsidRDefault="006A013B">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C4ADB" w14:textId="77777777" w:rsidR="006A013B" w:rsidRDefault="006A013B">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6A013B" w14:paraId="764FCF60" w14:textId="77777777">
      <w:trPr>
        <w:trHeight w:val="709"/>
      </w:trPr>
      <w:tc>
        <w:tcPr>
          <w:tcW w:w="2694" w:type="dxa"/>
          <w:shd w:val="clear" w:color="auto" w:fill="514DAA"/>
        </w:tcPr>
        <w:p w14:paraId="28809737" w14:textId="77777777" w:rsidR="006A013B" w:rsidRDefault="00000000">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28A3BA6F" wp14:editId="2C3407B9">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6835E2EF" w14:textId="77777777" w:rsidR="006A013B" w:rsidRDefault="00000000">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Pr>
              <w:rFonts w:ascii="Calibri" w:eastAsia="Calibri" w:hAnsi="Calibri" w:cs="Calibri"/>
              <w:color w:val="FFFFFF"/>
              <w:sz w:val="24"/>
              <w:szCs w:val="24"/>
            </w:rPr>
            <w:t xml:space="preserve">Priyam Maharaj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1E0D8E">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6ED38CEF" w14:textId="77777777" w:rsidR="006A013B" w:rsidRDefault="006A013B">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5367A" w14:textId="77777777" w:rsidR="006A013B" w:rsidRDefault="006A013B">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6A013B" w14:paraId="57D428EB" w14:textId="77777777">
      <w:trPr>
        <w:trHeight w:val="709"/>
      </w:trPr>
      <w:tc>
        <w:tcPr>
          <w:tcW w:w="2694" w:type="dxa"/>
          <w:shd w:val="clear" w:color="auto" w:fill="514DAA"/>
        </w:tcPr>
        <w:p w14:paraId="0FE7D392" w14:textId="77777777" w:rsidR="006A013B" w:rsidRDefault="00000000">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673D60FB" wp14:editId="38BE6B41">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4BAC3512" w14:textId="77777777" w:rsidR="006A013B" w:rsidRDefault="00000000">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Pr>
              <w:rFonts w:ascii="Calibri" w:eastAsia="Calibri" w:hAnsi="Calibri" w:cs="Calibri"/>
              <w:color w:val="FFFFFF"/>
              <w:sz w:val="24"/>
              <w:szCs w:val="24"/>
            </w:rPr>
            <w:t>Priyam Maharaj| Page 1</w:t>
          </w:r>
        </w:p>
        <w:p w14:paraId="287CD3C0" w14:textId="77777777" w:rsidR="006A013B" w:rsidRDefault="00000000">
          <w:pPr>
            <w:tabs>
              <w:tab w:val="left" w:pos="3495"/>
            </w:tabs>
          </w:pPr>
          <w:r>
            <w:tab/>
          </w:r>
        </w:p>
      </w:tc>
    </w:tr>
  </w:tbl>
  <w:p w14:paraId="013293BF" w14:textId="77777777" w:rsidR="006A013B" w:rsidRDefault="00000000">
    <w:pPr>
      <w:pBdr>
        <w:top w:val="nil"/>
        <w:left w:val="nil"/>
        <w:bottom w:val="nil"/>
        <w:right w:val="nil"/>
        <w:between w:val="nil"/>
      </w:pBdr>
      <w:tabs>
        <w:tab w:val="center" w:pos="4320"/>
        <w:tab w:val="right" w:pos="8640"/>
      </w:tabs>
      <w:rPr>
        <w:color w:val="000000"/>
      </w:rPr>
    </w:pPr>
    <w:r>
      <w:rPr>
        <w:color w:val="000000"/>
      </w:rPr>
      <w:tab/>
      <w:t xml:space="preserve">         </w:t>
    </w:r>
  </w:p>
  <w:p w14:paraId="0C5AA7BC" w14:textId="77777777" w:rsidR="006A013B" w:rsidRDefault="00000000">
    <w:pPr>
      <w:pBdr>
        <w:top w:val="nil"/>
        <w:left w:val="nil"/>
        <w:bottom w:val="nil"/>
        <w:right w:val="nil"/>
        <w:between w:val="nil"/>
      </w:pBdr>
      <w:tabs>
        <w:tab w:val="center" w:pos="4320"/>
        <w:tab w:val="right" w:pos="8640"/>
      </w:tabs>
      <w:jc w:val="right"/>
    </w:pPr>
    <w:r>
      <w:rPr>
        <w:color w:val="000000"/>
      </w:rPr>
      <w:fldChar w:fldCharType="begin"/>
    </w:r>
    <w:r>
      <w:rPr>
        <w:color w:val="000000"/>
      </w:rPr>
      <w:instrText>PAGE</w:instrText>
    </w:r>
    <w:r>
      <w:rPr>
        <w:color w:val="000000"/>
      </w:rPr>
      <w:fldChar w:fldCharType="separate"/>
    </w:r>
    <w:r w:rsidR="001E0D8E">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E2A1C" w14:textId="77777777" w:rsidR="00CC28EB" w:rsidRDefault="00CC28EB">
      <w:r>
        <w:separator/>
      </w:r>
    </w:p>
  </w:footnote>
  <w:footnote w:type="continuationSeparator" w:id="0">
    <w:p w14:paraId="6FD59470" w14:textId="77777777" w:rsidR="00CC28EB" w:rsidRDefault="00CC2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C733" w14:textId="77777777" w:rsidR="006A013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9FCE3C" w14:textId="77777777" w:rsidR="006A013B" w:rsidRDefault="006A013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6F092" w14:textId="77777777" w:rsidR="006A013B" w:rsidRDefault="006A013B">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28FDC" w14:textId="77777777" w:rsidR="006A013B" w:rsidRDefault="006A013B">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6A013B" w14:paraId="6A92D0B0" w14:textId="77777777">
      <w:trPr>
        <w:trHeight w:val="1843"/>
      </w:trPr>
      <w:tc>
        <w:tcPr>
          <w:tcW w:w="4050" w:type="dxa"/>
          <w:shd w:val="clear" w:color="auto" w:fill="514DAA"/>
        </w:tcPr>
        <w:p w14:paraId="4BF5DB04" w14:textId="77777777" w:rsidR="006A013B" w:rsidRDefault="00000000">
          <w:pPr>
            <w:ind w:left="-1523"/>
          </w:pPr>
          <w:r>
            <w:rPr>
              <w:noProof/>
            </w:rPr>
            <w:drawing>
              <wp:anchor distT="0" distB="0" distL="114300" distR="114300" simplePos="0" relativeHeight="251658240" behindDoc="0" locked="0" layoutInCell="1" hidden="0" allowOverlap="1" wp14:anchorId="6318FE0D" wp14:editId="50D71B41">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31DFF81A" w14:textId="77777777" w:rsidR="006A013B" w:rsidRDefault="006A013B">
          <w:pPr>
            <w:rPr>
              <w:rFonts w:ascii="Cambria" w:eastAsia="Cambria" w:hAnsi="Cambria" w:cs="Cambria"/>
              <w:b/>
              <w:sz w:val="28"/>
              <w:szCs w:val="28"/>
            </w:rPr>
          </w:pPr>
        </w:p>
        <w:p w14:paraId="783DDA81" w14:textId="77777777" w:rsidR="006A013B" w:rsidRDefault="00000000">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New Zealand Postgraduate Development Field Research Award</w:t>
          </w:r>
        </w:p>
        <w:p w14:paraId="77F477A1" w14:textId="77777777" w:rsidR="006A013B" w:rsidRDefault="00000000">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89E4390" w14:textId="77777777" w:rsidR="006A013B" w:rsidRDefault="00000000">
          <w:pPr>
            <w:spacing w:line="360" w:lineRule="auto"/>
            <w:rPr>
              <w:rFonts w:ascii="Cambria" w:eastAsia="Cambria" w:hAnsi="Cambria" w:cs="Cambria"/>
              <w:b/>
              <w:sz w:val="24"/>
              <w:szCs w:val="24"/>
            </w:rPr>
          </w:pPr>
          <w:r>
            <w:rPr>
              <w:rFonts w:ascii="Cambria" w:eastAsia="Cambria" w:hAnsi="Cambria" w:cs="Cambria"/>
              <w:b/>
              <w:color w:val="FFFFFF"/>
              <w:sz w:val="26"/>
              <w:szCs w:val="26"/>
            </w:rPr>
            <w:t xml:space="preserve">2024 </w:t>
          </w:r>
        </w:p>
      </w:tc>
    </w:tr>
  </w:tbl>
  <w:p w14:paraId="1D5CE700" w14:textId="77777777" w:rsidR="006A013B" w:rsidRDefault="006A013B">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B965B" w14:textId="77777777" w:rsidR="006A013B" w:rsidRDefault="006A013B">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06DA7"/>
    <w:multiLevelType w:val="multilevel"/>
    <w:tmpl w:val="DB087CF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C30575"/>
    <w:multiLevelType w:val="multilevel"/>
    <w:tmpl w:val="FA7E7406"/>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6F53913"/>
    <w:multiLevelType w:val="multilevel"/>
    <w:tmpl w:val="8A90624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B163D1"/>
    <w:multiLevelType w:val="multilevel"/>
    <w:tmpl w:val="4D92278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num w:numId="1" w16cid:durableId="1076131177">
    <w:abstractNumId w:val="3"/>
  </w:num>
  <w:num w:numId="2" w16cid:durableId="2052150032">
    <w:abstractNumId w:val="2"/>
  </w:num>
  <w:num w:numId="3" w16cid:durableId="1727409167">
    <w:abstractNumId w:val="0"/>
  </w:num>
  <w:num w:numId="4" w16cid:durableId="887037943">
    <w:abstractNumId w:val="1"/>
  </w:num>
  <w:num w:numId="5" w16cid:durableId="18531842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8870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13B"/>
    <w:rsid w:val="001E0D8E"/>
    <w:rsid w:val="00467B5A"/>
    <w:rsid w:val="006A013B"/>
    <w:rsid w:val="00CC2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3FD10"/>
  <w15:docId w15:val="{F016F085-458C-46F9-85F0-964E6221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www.fbcnews.com.fj/news/education/huge-number-of-boys-dropping-out-of-school/" TargetMode="External"/><Relationship Id="rId3" Type="http://schemas.openxmlformats.org/officeDocument/2006/relationships/styles" Target="styles.xml"/><Relationship Id="rId21" Type="http://schemas.openxmlformats.org/officeDocument/2006/relationships/hyperlink" Target="https://www.fbcnews.com.fj/news/drug-abuse-cases-increas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www.fijitimes.com.fj/alarming-dropout-rates-and-learning-gaps-revealed/" TargetMode="External"/><Relationship Id="rId2" Type="http://schemas.openxmlformats.org/officeDocument/2006/relationships/numbering" Target="numbering.xml"/><Relationship Id="rId16" Type="http://schemas.openxmlformats.org/officeDocument/2006/relationships/hyperlink" Target="https://www.fbcnews.com.fj/news/education/huge-number-of-boys-dropping-out-of-school/" TargetMode="External"/><Relationship Id="rId20" Type="http://schemas.openxmlformats.org/officeDocument/2006/relationships/hyperlink" Target="https://www.theguardian.com/world/2020/mar/10/horrific-viral-video-reveals-crisis-of-school-bullying-in-fij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ijitimes.com.fj/alarming-dropout-rates-and-learning-gaps-revealed/" TargetMode="External"/><Relationship Id="rId5" Type="http://schemas.openxmlformats.org/officeDocument/2006/relationships/webSettings" Target="webSettings.xml"/><Relationship Id="rId15" Type="http://schemas.openxmlformats.org/officeDocument/2006/relationships/hyperlink" Target="https://www.fbcnews.com.fj/news/education/huge-number-of-boys-dropping-out-of-school/" TargetMode="External"/><Relationship Id="rId23" Type="http://schemas.openxmlformats.org/officeDocument/2006/relationships/hyperlink" Target="https://fijisun.com.fj/2024/05/27/more-males-commit-suicide-than-females/" TargetMode="External"/><Relationship Id="rId28" Type="http://schemas.openxmlformats.org/officeDocument/2006/relationships/hyperlink" Target="https://www.fbcnews.com.fj/news/education/bullying-on-rise-in-schools/" TargetMode="External"/><Relationship Id="rId10" Type="http://schemas.openxmlformats.org/officeDocument/2006/relationships/footer" Target="footer1.xml"/><Relationship Id="rId19" Type="http://schemas.openxmlformats.org/officeDocument/2006/relationships/hyperlink" Target="https://www.britannica.com/place/Viti-Lev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fbcnews.com.fj/news/drug-abuse-cases-increase/" TargetMode="External"/><Relationship Id="rId27" Type="http://schemas.openxmlformats.org/officeDocument/2006/relationships/hyperlink" Target="https://www.fbcnews.com.fj/news/education/huge-number-of-boys-dropping-out-of-schoo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1964</Words>
  <Characters>11201</Characters>
  <Application>Microsoft Office Word</Application>
  <DocSecurity>0</DocSecurity>
  <Lines>93</Lines>
  <Paragraphs>26</Paragraphs>
  <ScaleCrop>false</ScaleCrop>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Phan, Bao Minh</cp:lastModifiedBy>
  <cp:revision>2</cp:revision>
  <dcterms:created xsi:type="dcterms:W3CDTF">2024-10-21T08:53:00Z</dcterms:created>
  <dcterms:modified xsi:type="dcterms:W3CDTF">2024-10-21T08:53:00Z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