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93495" w14:textId="77777777" w:rsidR="003D6913" w:rsidRPr="00831C12" w:rsidRDefault="003D6913" w:rsidP="00831C12">
      <w:pPr>
        <w:sectPr w:rsidR="003D6913" w:rsidRPr="00831C12" w:rsidSect="00AA704D">
          <w:headerReference w:type="even" r:id="rId11"/>
          <w:headerReference w:type="default" r:id="rId12"/>
          <w:footerReference w:type="even" r:id="rId13"/>
          <w:footerReference w:type="default" r:id="rId14"/>
          <w:headerReference w:type="first" r:id="rId15"/>
          <w:footerReference w:type="first" r:id="rId16"/>
          <w:pgSz w:w="11907" w:h="16840" w:code="9"/>
          <w:pgMar w:top="238" w:right="1418" w:bottom="1021" w:left="1418" w:header="0" w:footer="0" w:gutter="0"/>
          <w:pgNumType w:start="1" w:chapStyle="1"/>
          <w:cols w:space="720"/>
          <w:formProt w:val="0"/>
          <w:titlePg/>
          <w:docGrid w:linePitch="299"/>
        </w:sectPr>
      </w:pPr>
    </w:p>
    <w:p w14:paraId="746777F5" w14:textId="49A09507" w:rsidR="00473FD8" w:rsidRPr="0059671F" w:rsidRDefault="0059671F" w:rsidP="0059671F">
      <w:pPr>
        <w:jc w:val="center"/>
      </w:pPr>
      <w:r w:rsidRPr="0059671F">
        <w:t>Joseph Brockliss</w:t>
      </w:r>
      <w:r>
        <w:t xml:space="preserve"> </w:t>
      </w:r>
      <w:r w:rsidR="00473FD8" w:rsidRPr="0059671F">
        <w:rPr>
          <w:b/>
          <w:bCs/>
        </w:rPr>
        <w:t>|</w:t>
      </w:r>
      <w:r w:rsidR="00473FD8" w:rsidRPr="0059671F">
        <w:t xml:space="preserve"> </w:t>
      </w:r>
      <w:r w:rsidRPr="0059671F">
        <w:t>Master of Development Studies</w:t>
      </w:r>
      <w:r>
        <w:t xml:space="preserve"> </w:t>
      </w:r>
      <w:r w:rsidR="00473FD8" w:rsidRPr="0059671F">
        <w:rPr>
          <w:b/>
          <w:bCs/>
        </w:rPr>
        <w:t xml:space="preserve">| </w:t>
      </w:r>
      <w:r w:rsidRPr="0059671F">
        <w:t>Massey University</w:t>
      </w:r>
    </w:p>
    <w:p w14:paraId="56731785" w14:textId="77777777" w:rsidR="00473FD8" w:rsidRPr="00383BCD" w:rsidRDefault="00473FD8" w:rsidP="00473FD8">
      <w:pPr>
        <w:ind w:firstLine="720"/>
        <w:rPr>
          <w:rFonts w:asciiTheme="minorHAnsi" w:hAnsiTheme="minorHAnsi" w:cstheme="minorHAnsi"/>
          <w:sz w:val="24"/>
          <w:szCs w:val="24"/>
        </w:rPr>
      </w:pPr>
    </w:p>
    <w:p w14:paraId="0A012AA2" w14:textId="69521628" w:rsidR="006859B9" w:rsidRPr="0059671F" w:rsidRDefault="0059671F" w:rsidP="0059671F">
      <w:pPr>
        <w:ind w:left="2160"/>
        <w:rPr>
          <w:rFonts w:asciiTheme="minorHAnsi" w:hAnsiTheme="minorHAnsi" w:cstheme="minorHAnsi"/>
          <w:b/>
          <w:bCs/>
          <w:sz w:val="24"/>
          <w:szCs w:val="24"/>
        </w:rPr>
      </w:pPr>
      <w:r w:rsidRPr="0059671F">
        <w:rPr>
          <w:rFonts w:ascii="Arial" w:hAnsi="Arial" w:cs="Arial"/>
          <w:b/>
          <w:bCs/>
          <w:color w:val="001D35"/>
          <w:sz w:val="27"/>
          <w:szCs w:val="27"/>
          <w:shd w:val="clear" w:color="auto" w:fill="FFFFFF"/>
        </w:rPr>
        <w:t>Pedagogies of Plurality. Chiapas, Mexico.</w:t>
      </w:r>
    </w:p>
    <w:p w14:paraId="2AF1ECAF" w14:textId="77777777" w:rsidR="006859B9" w:rsidRPr="00473FD8" w:rsidRDefault="006859B9" w:rsidP="00473FD8">
      <w:pPr>
        <w:ind w:firstLine="720"/>
        <w:jc w:val="center"/>
        <w:rPr>
          <w:b/>
          <w:bCs/>
        </w:rPr>
      </w:pPr>
    </w:p>
    <w:tbl>
      <w:tblPr>
        <w:tblStyle w:val="TableGrid"/>
        <w:tblW w:w="11079" w:type="dxa"/>
        <w:tblInd w:w="-1139" w:type="dxa"/>
        <w:shd w:val="clear" w:color="auto" w:fill="D9D9D9" w:themeFill="background1" w:themeFillShade="D9"/>
        <w:tblLook w:val="04A0" w:firstRow="1" w:lastRow="0" w:firstColumn="1" w:lastColumn="0" w:noHBand="0" w:noVBand="1"/>
      </w:tblPr>
      <w:tblGrid>
        <w:gridCol w:w="11079"/>
      </w:tblGrid>
      <w:tr w:rsidR="006859B9" w:rsidRPr="00383BCD" w14:paraId="348A3D10" w14:textId="77777777" w:rsidTr="00A467FA">
        <w:trPr>
          <w:trHeight w:val="4213"/>
        </w:trPr>
        <w:tc>
          <w:tcPr>
            <w:tcW w:w="11079" w:type="dxa"/>
            <w:shd w:val="clear" w:color="auto" w:fill="D9D9D9" w:themeFill="background1" w:themeFillShade="D9"/>
          </w:tcPr>
          <w:p w14:paraId="76CCF46F" w14:textId="3A1A020E" w:rsidR="006859B9" w:rsidRDefault="006859B9" w:rsidP="006859B9">
            <w:pPr>
              <w:rPr>
                <w:rFonts w:asciiTheme="minorHAnsi" w:hAnsiTheme="minorHAnsi" w:cstheme="minorHAnsi"/>
                <w:szCs w:val="22"/>
              </w:rPr>
            </w:pPr>
            <w:r w:rsidRPr="00383BCD">
              <w:rPr>
                <w:rFonts w:asciiTheme="minorHAnsi" w:hAnsiTheme="minorHAnsi" w:cstheme="minorHAnsi"/>
                <w:b/>
                <w:color w:val="864EA8" w:themeColor="accent1" w:themeShade="BF"/>
                <w:sz w:val="24"/>
                <w:szCs w:val="24"/>
              </w:rPr>
              <w:t>Summary</w:t>
            </w:r>
            <w:r w:rsidRPr="00A62056">
              <w:rPr>
                <w:rFonts w:asciiTheme="minorHAnsi" w:hAnsiTheme="minorHAnsi" w:cstheme="minorHAnsi"/>
                <w:b/>
                <w:color w:val="864EA8" w:themeColor="accent1" w:themeShade="BF"/>
                <w:sz w:val="24"/>
                <w:szCs w:val="24"/>
              </w:rPr>
              <w:t>:</w:t>
            </w:r>
            <w:r w:rsidRPr="00A62056">
              <w:rPr>
                <w:rFonts w:asciiTheme="minorHAnsi" w:hAnsiTheme="minorHAnsi" w:cstheme="minorHAnsi"/>
                <w:b/>
                <w:color w:val="864EA8" w:themeColor="accent1" w:themeShade="BF"/>
              </w:rPr>
              <w:t xml:space="preserve"> </w:t>
            </w:r>
            <w:r w:rsidRPr="00A62056">
              <w:rPr>
                <w:rFonts w:asciiTheme="minorHAnsi" w:hAnsiTheme="minorHAnsi" w:cstheme="minorHAnsi"/>
                <w:color w:val="864EA8" w:themeColor="accent1" w:themeShade="BF"/>
                <w:szCs w:val="22"/>
              </w:rPr>
              <w:t xml:space="preserve"> </w:t>
            </w:r>
          </w:p>
          <w:p w14:paraId="7450DA6E" w14:textId="77777777" w:rsidR="000E4EB6" w:rsidRDefault="000E4EB6" w:rsidP="006859B9">
            <w:pPr>
              <w:rPr>
                <w:rFonts w:asciiTheme="minorHAnsi" w:hAnsiTheme="minorHAnsi" w:cstheme="minorHAnsi"/>
                <w:szCs w:val="22"/>
              </w:rPr>
            </w:pPr>
          </w:p>
          <w:p w14:paraId="73B798EB" w14:textId="2D92FA2A" w:rsidR="000E4EB6" w:rsidRPr="000E4EB6" w:rsidRDefault="000E4EB6" w:rsidP="000E4EB6">
            <w:pPr>
              <w:pStyle w:val="NormalWeb"/>
              <w:numPr>
                <w:ilvl w:val="0"/>
                <w:numId w:val="22"/>
              </w:numPr>
              <w:contextualSpacing/>
              <w:rPr>
                <w:rStyle w:val="Strong"/>
                <w:rFonts w:asciiTheme="minorHAnsi" w:hAnsiTheme="minorHAnsi" w:cstheme="minorHAnsi"/>
                <w:b w:val="0"/>
                <w:bCs w:val="0"/>
                <w:sz w:val="22"/>
                <w:szCs w:val="22"/>
              </w:rPr>
            </w:pPr>
            <w:r w:rsidRPr="000E4EB6">
              <w:rPr>
                <w:rStyle w:val="Strong"/>
                <w:rFonts w:asciiTheme="minorHAnsi" w:hAnsiTheme="minorHAnsi" w:cstheme="minorHAnsi"/>
                <w:sz w:val="22"/>
                <w:szCs w:val="22"/>
              </w:rPr>
              <w:t>Community-led Indigenous education models in Chiapas offer culturally and environmentally centred pathways to well-being, grounded in autonomy, educational liberation, and ecological sustainability.</w:t>
            </w:r>
          </w:p>
          <w:p w14:paraId="07EC309B" w14:textId="77777777" w:rsidR="000E4EB6" w:rsidRPr="000E4EB6" w:rsidRDefault="000E4EB6" w:rsidP="000E4EB6">
            <w:pPr>
              <w:pStyle w:val="NormalWeb"/>
              <w:ind w:left="720"/>
              <w:contextualSpacing/>
              <w:rPr>
                <w:rFonts w:asciiTheme="minorHAnsi" w:hAnsiTheme="minorHAnsi" w:cstheme="minorHAnsi"/>
                <w:sz w:val="22"/>
                <w:szCs w:val="22"/>
              </w:rPr>
            </w:pPr>
          </w:p>
          <w:p w14:paraId="02975219" w14:textId="46534944" w:rsidR="000E4EB6" w:rsidRPr="000E4EB6" w:rsidRDefault="000E4EB6" w:rsidP="000E4EB6">
            <w:pPr>
              <w:pStyle w:val="NormalWeb"/>
              <w:numPr>
                <w:ilvl w:val="0"/>
                <w:numId w:val="22"/>
              </w:numPr>
              <w:ind w:left="714" w:hanging="357"/>
              <w:contextualSpacing/>
              <w:rPr>
                <w:rStyle w:val="Strong"/>
                <w:rFonts w:asciiTheme="minorHAnsi" w:hAnsiTheme="minorHAnsi" w:cstheme="minorHAnsi"/>
                <w:b w:val="0"/>
                <w:bCs w:val="0"/>
                <w:sz w:val="22"/>
                <w:szCs w:val="22"/>
              </w:rPr>
            </w:pPr>
            <w:r w:rsidRPr="000E4EB6">
              <w:rPr>
                <w:rStyle w:val="Strong"/>
                <w:rFonts w:asciiTheme="minorHAnsi" w:hAnsiTheme="minorHAnsi" w:cstheme="minorHAnsi"/>
                <w:sz w:val="22"/>
                <w:szCs w:val="22"/>
              </w:rPr>
              <w:t>Top-down state interventions have historically disrupted Indigenous ways of life</w:t>
            </w:r>
            <w:r>
              <w:rPr>
                <w:rStyle w:val="Strong"/>
                <w:rFonts w:asciiTheme="minorHAnsi" w:hAnsiTheme="minorHAnsi" w:cstheme="minorHAnsi"/>
                <w:sz w:val="22"/>
                <w:szCs w:val="22"/>
              </w:rPr>
              <w:t xml:space="preserve"> while failing to produce economic or occupational security for the people of Chiapas</w:t>
            </w:r>
            <w:r w:rsidRPr="000E4EB6">
              <w:rPr>
                <w:rStyle w:val="Strong"/>
                <w:rFonts w:asciiTheme="minorHAnsi" w:hAnsiTheme="minorHAnsi" w:cstheme="minorHAnsi"/>
                <w:sz w:val="22"/>
                <w:szCs w:val="22"/>
              </w:rPr>
              <w:t xml:space="preserve">, while Zapatista schooling re-embeds education within </w:t>
            </w:r>
            <w:r>
              <w:rPr>
                <w:rStyle w:val="Strong"/>
                <w:rFonts w:asciiTheme="minorHAnsi" w:hAnsiTheme="minorHAnsi" w:cstheme="minorHAnsi"/>
                <w:sz w:val="22"/>
                <w:szCs w:val="22"/>
              </w:rPr>
              <w:t xml:space="preserve">traditional </w:t>
            </w:r>
            <w:r w:rsidR="00971097">
              <w:rPr>
                <w:rStyle w:val="Strong"/>
                <w:rFonts w:asciiTheme="minorHAnsi" w:hAnsiTheme="minorHAnsi" w:cstheme="minorHAnsi"/>
                <w:sz w:val="22"/>
                <w:szCs w:val="22"/>
              </w:rPr>
              <w:t>practices of trade and governance</w:t>
            </w:r>
            <w:r w:rsidRPr="000E4EB6">
              <w:rPr>
                <w:rStyle w:val="Strong"/>
                <w:rFonts w:asciiTheme="minorHAnsi" w:hAnsiTheme="minorHAnsi" w:cstheme="minorHAnsi"/>
                <w:sz w:val="22"/>
                <w:szCs w:val="22"/>
              </w:rPr>
              <w:t>.</w:t>
            </w:r>
          </w:p>
          <w:p w14:paraId="40EA337B" w14:textId="77777777" w:rsidR="000E4EB6" w:rsidRPr="000E4EB6" w:rsidRDefault="000E4EB6" w:rsidP="000E4EB6">
            <w:pPr>
              <w:pStyle w:val="NormalWeb"/>
              <w:contextualSpacing/>
              <w:rPr>
                <w:rFonts w:asciiTheme="minorHAnsi" w:hAnsiTheme="minorHAnsi" w:cstheme="minorHAnsi"/>
                <w:sz w:val="22"/>
                <w:szCs w:val="22"/>
              </w:rPr>
            </w:pPr>
          </w:p>
          <w:p w14:paraId="6D38A751" w14:textId="60395437" w:rsidR="000E4EB6" w:rsidRDefault="004F4E36" w:rsidP="004F4E36">
            <w:pPr>
              <w:pStyle w:val="NormalWeb"/>
              <w:numPr>
                <w:ilvl w:val="0"/>
                <w:numId w:val="22"/>
              </w:numPr>
              <w:contextualSpacing/>
              <w:rPr>
                <w:rFonts w:asciiTheme="minorHAnsi" w:hAnsiTheme="minorHAnsi" w:cstheme="minorHAnsi"/>
                <w:b/>
                <w:bCs/>
                <w:sz w:val="22"/>
                <w:szCs w:val="22"/>
              </w:rPr>
            </w:pPr>
            <w:r w:rsidRPr="004F4E36">
              <w:rPr>
                <w:rFonts w:asciiTheme="minorHAnsi" w:hAnsiTheme="minorHAnsi" w:cstheme="minorHAnsi"/>
                <w:b/>
                <w:bCs/>
                <w:sz w:val="22"/>
                <w:szCs w:val="22"/>
              </w:rPr>
              <w:t xml:space="preserve">For many Indigenous communities in Latin America, education grounded in </w:t>
            </w:r>
            <w:r w:rsidRPr="004F4E36">
              <w:rPr>
                <w:rStyle w:val="Emphasis"/>
                <w:rFonts w:asciiTheme="minorHAnsi" w:hAnsiTheme="minorHAnsi" w:cstheme="minorHAnsi"/>
                <w:b/>
                <w:bCs/>
                <w:sz w:val="22"/>
                <w:szCs w:val="22"/>
              </w:rPr>
              <w:t>Buen Vivir</w:t>
            </w:r>
            <w:r w:rsidRPr="004F4E36">
              <w:rPr>
                <w:rFonts w:asciiTheme="minorHAnsi" w:hAnsiTheme="minorHAnsi" w:cstheme="minorHAnsi"/>
                <w:b/>
                <w:bCs/>
                <w:sz w:val="22"/>
                <w:szCs w:val="22"/>
              </w:rPr>
              <w:t xml:space="preserve"> and post-development principles has been shown to foster dignity and self-determination more effectively than standardised, Western-centric schooling models.</w:t>
            </w:r>
          </w:p>
          <w:p w14:paraId="2334ABB3" w14:textId="77777777" w:rsidR="004F4E36" w:rsidRPr="004F4E36" w:rsidRDefault="004F4E36" w:rsidP="004F4E36">
            <w:pPr>
              <w:pStyle w:val="NormalWeb"/>
              <w:contextualSpacing/>
              <w:rPr>
                <w:rFonts w:asciiTheme="minorHAnsi" w:hAnsiTheme="minorHAnsi" w:cstheme="minorHAnsi"/>
                <w:b/>
                <w:bCs/>
                <w:sz w:val="22"/>
                <w:szCs w:val="22"/>
              </w:rPr>
            </w:pPr>
          </w:p>
          <w:p w14:paraId="51411606" w14:textId="29BF29E3" w:rsidR="000E4EB6" w:rsidRPr="000E4EB6" w:rsidRDefault="000E4EB6" w:rsidP="000E4EB6">
            <w:pPr>
              <w:pStyle w:val="NormalWeb"/>
              <w:numPr>
                <w:ilvl w:val="0"/>
                <w:numId w:val="22"/>
              </w:numPr>
              <w:ind w:left="714" w:hanging="357"/>
              <w:contextualSpacing/>
              <w:rPr>
                <w:rFonts w:asciiTheme="minorHAnsi" w:hAnsiTheme="minorHAnsi" w:cstheme="minorHAnsi"/>
                <w:sz w:val="22"/>
                <w:szCs w:val="22"/>
              </w:rPr>
            </w:pPr>
            <w:r w:rsidRPr="000E4EB6">
              <w:rPr>
                <w:rStyle w:val="Strong"/>
                <w:rFonts w:asciiTheme="minorHAnsi" w:hAnsiTheme="minorHAnsi" w:cstheme="minorHAnsi"/>
                <w:sz w:val="22"/>
                <w:szCs w:val="22"/>
              </w:rPr>
              <w:t>Policy actors must rethink how educational support is delivered, shifting from prescriptive programming toward relational, community-embedded partnerships.</w:t>
            </w:r>
          </w:p>
          <w:p w14:paraId="008FC825" w14:textId="77777777" w:rsidR="000E4EB6" w:rsidRPr="00A62056" w:rsidRDefault="000E4EB6" w:rsidP="006859B9">
            <w:pPr>
              <w:rPr>
                <w:rFonts w:asciiTheme="minorHAnsi" w:hAnsiTheme="minorHAnsi" w:cstheme="minorHAnsi"/>
                <w:szCs w:val="22"/>
              </w:rPr>
            </w:pPr>
          </w:p>
          <w:p w14:paraId="498D46E8" w14:textId="77777777" w:rsidR="006859B9" w:rsidRPr="00A62056" w:rsidRDefault="006859B9" w:rsidP="006859B9">
            <w:pPr>
              <w:jc w:val="left"/>
              <w:rPr>
                <w:rFonts w:asciiTheme="minorHAnsi" w:hAnsiTheme="minorHAnsi" w:cstheme="minorHAnsi"/>
              </w:rPr>
            </w:pPr>
          </w:p>
          <w:p w14:paraId="446ADDF6" w14:textId="77777777" w:rsidR="006859B9" w:rsidRPr="00F42E64" w:rsidRDefault="006859B9" w:rsidP="00F42E64">
            <w:pPr>
              <w:ind w:left="720" w:hanging="720"/>
              <w:rPr>
                <w:rFonts w:asciiTheme="minorHAnsi" w:hAnsiTheme="minorHAnsi" w:cstheme="minorHAnsi"/>
                <w:iCs/>
                <w:color w:val="800080"/>
                <w:szCs w:val="22"/>
              </w:rPr>
            </w:pPr>
          </w:p>
          <w:p w14:paraId="5BFD3E4C" w14:textId="77777777" w:rsidR="006859B9" w:rsidRPr="00383BCD" w:rsidRDefault="006859B9" w:rsidP="006859B9">
            <w:pPr>
              <w:rPr>
                <w:rFonts w:asciiTheme="minorHAnsi" w:hAnsiTheme="minorHAnsi" w:cstheme="minorHAnsi"/>
                <w:i/>
                <w:color w:val="800080"/>
                <w:szCs w:val="22"/>
              </w:rPr>
            </w:pPr>
          </w:p>
          <w:p w14:paraId="7E8A64F7" w14:textId="77777777" w:rsidR="006859B9" w:rsidRPr="00383BCD" w:rsidRDefault="006859B9" w:rsidP="006859B9">
            <w:pPr>
              <w:rPr>
                <w:rFonts w:asciiTheme="minorHAnsi" w:hAnsiTheme="minorHAnsi" w:cstheme="minorHAnsi"/>
                <w:i/>
                <w:color w:val="800080"/>
                <w:szCs w:val="22"/>
              </w:rPr>
            </w:pPr>
          </w:p>
          <w:p w14:paraId="07F1A41D" w14:textId="77777777" w:rsidR="006859B9" w:rsidRPr="00383BCD" w:rsidRDefault="006859B9" w:rsidP="006859B9">
            <w:pPr>
              <w:rPr>
                <w:rFonts w:asciiTheme="minorHAnsi" w:hAnsiTheme="minorHAnsi" w:cstheme="minorHAnsi"/>
                <w:i/>
                <w:color w:val="800080"/>
                <w:szCs w:val="22"/>
              </w:rPr>
            </w:pPr>
          </w:p>
          <w:p w14:paraId="76D3C06E" w14:textId="6864B815" w:rsidR="006859B9" w:rsidRPr="00383BCD" w:rsidRDefault="006859B9" w:rsidP="006859B9">
            <w:pPr>
              <w:rPr>
                <w:rFonts w:asciiTheme="minorHAnsi" w:hAnsiTheme="minorHAnsi" w:cstheme="minorHAnsi"/>
                <w:i/>
                <w:color w:val="800080"/>
              </w:rPr>
            </w:pPr>
          </w:p>
        </w:tc>
      </w:tr>
    </w:tbl>
    <w:p w14:paraId="3E92E921" w14:textId="77777777" w:rsidR="006859B9" w:rsidRDefault="006859B9" w:rsidP="00CF05B4">
      <w:pPr>
        <w:ind w:left="2160"/>
        <w:rPr>
          <w:i/>
          <w:color w:val="800080"/>
        </w:rPr>
      </w:pPr>
    </w:p>
    <w:p w14:paraId="37F934A6" w14:textId="256B9F4C" w:rsidR="00CF05B4" w:rsidRDefault="006859B9" w:rsidP="00CF05B4">
      <w:pPr>
        <w:rPr>
          <w:i/>
          <w:color w:val="800080"/>
        </w:rPr>
      </w:pPr>
      <w:r>
        <w:rPr>
          <w:i/>
          <w:noProof/>
          <w:color w:val="800080"/>
        </w:rPr>
        <mc:AlternateContent>
          <mc:Choice Requires="wps">
            <w:drawing>
              <wp:anchor distT="0" distB="0" distL="114300" distR="114300" simplePos="0" relativeHeight="251659264" behindDoc="0" locked="0" layoutInCell="1" allowOverlap="1" wp14:anchorId="78881D20" wp14:editId="00DB8701">
                <wp:simplePos x="0" y="0"/>
                <wp:positionH relativeFrom="margin">
                  <wp:align>left</wp:align>
                </wp:positionH>
                <wp:positionV relativeFrom="paragraph">
                  <wp:posOffset>6349</wp:posOffset>
                </wp:positionV>
                <wp:extent cx="5848350" cy="9525"/>
                <wp:effectExtent l="0" t="0" r="19050" b="28575"/>
                <wp:wrapNone/>
                <wp:docPr id="171758330" name="Straight Connector 2"/>
                <wp:cNvGraphicFramePr/>
                <a:graphic xmlns:a="http://schemas.openxmlformats.org/drawingml/2006/main">
                  <a:graphicData uri="http://schemas.microsoft.com/office/word/2010/wordprocessingShape">
                    <wps:wsp>
                      <wps:cNvCnPr/>
                      <wps:spPr>
                        <a:xfrm flipV="1">
                          <a:off x="0" y="0"/>
                          <a:ext cx="5848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C3D01" id="Straight Connector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pt" to="46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" strokecolor="black [3040]">
                <w10:wrap anchorx="margin"/>
              </v:line>
            </w:pict>
          </mc:Fallback>
        </mc:AlternateContent>
      </w:r>
    </w:p>
    <w:p w14:paraId="6574200D" w14:textId="77777777" w:rsidR="00831C12" w:rsidRDefault="00831C12" w:rsidP="00CF05B4">
      <w:pPr>
        <w:pStyle w:val="BulletPoints"/>
        <w:numPr>
          <w:ilvl w:val="0"/>
          <w:numId w:val="0"/>
        </w:numPr>
        <w:jc w:val="left"/>
        <w:rPr>
          <w:b/>
        </w:rPr>
        <w:sectPr w:rsidR="00831C12" w:rsidSect="00AA704D">
          <w:type w:val="continuous"/>
          <w:pgSz w:w="11907" w:h="16840" w:code="9"/>
          <w:pgMar w:top="1418" w:right="1418" w:bottom="1276" w:left="1418" w:header="135" w:footer="397" w:gutter="0"/>
          <w:pgNumType w:start="1"/>
          <w:cols w:space="720"/>
          <w:formProt w:val="0"/>
          <w:titlePg/>
          <w:docGrid w:linePitch="299"/>
        </w:sectPr>
      </w:pPr>
    </w:p>
    <w:tbl>
      <w:tblPr>
        <w:tblW w:w="5103" w:type="dxa"/>
        <w:tblLayout w:type="fixed"/>
        <w:tblLook w:val="0000" w:firstRow="0" w:lastRow="0" w:firstColumn="0" w:lastColumn="0" w:noHBand="0" w:noVBand="0"/>
      </w:tblPr>
      <w:tblGrid>
        <w:gridCol w:w="5103"/>
      </w:tblGrid>
      <w:tr w:rsidR="006344A5" w14:paraId="37F934B3" w14:textId="77777777" w:rsidTr="00831C12">
        <w:trPr>
          <w:trHeight w:val="80"/>
        </w:trPr>
        <w:tc>
          <w:tcPr>
            <w:tcW w:w="5103" w:type="dxa"/>
          </w:tcPr>
          <w:p w14:paraId="00C6B7AC" w14:textId="77777777" w:rsidR="007A7DAC" w:rsidRDefault="005623E3" w:rsidP="00EC4D24">
            <w:pPr>
              <w:pStyle w:val="BulletPoints"/>
              <w:numPr>
                <w:ilvl w:val="0"/>
                <w:numId w:val="0"/>
              </w:numPr>
              <w:jc w:val="left"/>
              <w:rPr>
                <w:rFonts w:asciiTheme="minorHAnsi" w:hAnsiTheme="minorHAnsi" w:cstheme="minorHAnsi"/>
                <w:b/>
                <w:color w:val="864EA8" w:themeColor="accent1" w:themeShade="BF"/>
                <w:szCs w:val="24"/>
              </w:rPr>
            </w:pPr>
            <w:r w:rsidRPr="004F4E36">
              <w:rPr>
                <w:rFonts w:asciiTheme="minorHAnsi" w:hAnsiTheme="minorHAnsi" w:cstheme="minorHAnsi"/>
                <w:b/>
                <w:color w:val="864EA8" w:themeColor="accent1" w:themeShade="BF"/>
                <w:szCs w:val="24"/>
              </w:rPr>
              <w:t>What is the development issue?</w:t>
            </w:r>
          </w:p>
          <w:p w14:paraId="034F138C" w14:textId="1138CB17" w:rsidR="00111DA2" w:rsidRPr="00657B11" w:rsidRDefault="00111DA2" w:rsidP="00657B11">
            <w:pPr>
              <w:pStyle w:val="p1"/>
            </w:pPr>
            <w:r w:rsidRPr="004F4E36">
              <w:rPr>
                <w:rFonts w:asciiTheme="minorHAnsi" w:hAnsiTheme="minorHAnsi" w:cstheme="minorHAnsi"/>
                <w:sz w:val="22"/>
                <w:szCs w:val="22"/>
              </w:rPr>
              <w:t xml:space="preserve">Indigenous communities in Chiapas, Mexico, have long faced educational inequality, cultural marginalisation, and systemic poverty due to colonial legacies and neoliberal </w:t>
            </w:r>
            <w:r w:rsidRPr="00657B11">
              <w:rPr>
                <w:rFonts w:asciiTheme="minorHAnsi" w:hAnsiTheme="minorHAnsi" w:cstheme="minorHAnsi"/>
                <w:sz w:val="22"/>
                <w:szCs w:val="22"/>
              </w:rPr>
              <w:t>development agendas</w:t>
            </w:r>
            <w:r w:rsidR="00657B11" w:rsidRPr="00657B11">
              <w:rPr>
                <w:rFonts w:asciiTheme="minorHAnsi" w:hAnsiTheme="minorHAnsi" w:cstheme="minorHAnsi"/>
                <w:sz w:val="22"/>
                <w:szCs w:val="22"/>
              </w:rPr>
              <w:t xml:space="preserve"> (</w:t>
            </w:r>
            <w:proofErr w:type="spellStart"/>
            <w:r w:rsidR="00657B11" w:rsidRPr="00657B11">
              <w:rPr>
                <w:rFonts w:asciiTheme="minorHAnsi" w:hAnsiTheme="minorHAnsi" w:cstheme="minorHAnsi"/>
                <w:sz w:val="22"/>
                <w:szCs w:val="22"/>
              </w:rPr>
              <w:t>Harazduk</w:t>
            </w:r>
            <w:proofErr w:type="spellEnd"/>
            <w:r w:rsidR="00657B11" w:rsidRPr="00657B11">
              <w:rPr>
                <w:rFonts w:asciiTheme="minorHAnsi" w:hAnsiTheme="minorHAnsi" w:cstheme="minorHAnsi"/>
                <w:sz w:val="22"/>
                <w:szCs w:val="22"/>
              </w:rPr>
              <w:t>, 2014)</w:t>
            </w:r>
            <w:r w:rsidRPr="00657B11">
              <w:rPr>
                <w:rFonts w:asciiTheme="minorHAnsi" w:hAnsiTheme="minorHAnsi" w:cstheme="minorHAnsi"/>
                <w:sz w:val="22"/>
                <w:szCs w:val="22"/>
              </w:rPr>
              <w:t>. Despite reforms, state education models often fail to reflect the social, linguistic</w:t>
            </w:r>
            <w:r w:rsidRPr="004F4E36">
              <w:rPr>
                <w:rFonts w:asciiTheme="minorHAnsi" w:hAnsiTheme="minorHAnsi" w:cstheme="minorHAnsi"/>
                <w:sz w:val="22"/>
                <w:szCs w:val="22"/>
              </w:rPr>
              <w:t>, and economic realities of these communities. In contrast, the Zapatista movement has established autonomous education systems that are culturally relevant, community-directed, and designed to support collective well-being</w:t>
            </w:r>
            <w:r w:rsidR="003A0958" w:rsidRPr="00657B11">
              <w:rPr>
                <w:rFonts w:asciiTheme="minorHAnsi" w:hAnsiTheme="minorHAnsi" w:cstheme="minorHAnsi"/>
                <w:sz w:val="22"/>
                <w:szCs w:val="22"/>
              </w:rPr>
              <w:t>, or</w:t>
            </w:r>
            <w:r w:rsidRPr="00657B11">
              <w:rPr>
                <w:rFonts w:asciiTheme="minorHAnsi" w:hAnsiTheme="minorHAnsi" w:cstheme="minorHAnsi"/>
                <w:sz w:val="22"/>
                <w:szCs w:val="22"/>
              </w:rPr>
              <w:t xml:space="preserve"> </w:t>
            </w:r>
            <w:proofErr w:type="spellStart"/>
            <w:r w:rsidR="004C1D99">
              <w:rPr>
                <w:rStyle w:val="Emphasis"/>
                <w:rFonts w:asciiTheme="minorHAnsi" w:hAnsiTheme="minorHAnsi" w:cstheme="minorHAnsi"/>
                <w:sz w:val="22"/>
                <w:szCs w:val="22"/>
              </w:rPr>
              <w:t>b</w:t>
            </w:r>
            <w:r w:rsidRPr="00657B11">
              <w:rPr>
                <w:rStyle w:val="Emphasis"/>
                <w:rFonts w:asciiTheme="minorHAnsi" w:hAnsiTheme="minorHAnsi" w:cstheme="minorHAnsi"/>
                <w:sz w:val="22"/>
                <w:szCs w:val="22"/>
              </w:rPr>
              <w:t>uen</w:t>
            </w:r>
            <w:proofErr w:type="spellEnd"/>
            <w:r w:rsidRPr="00657B11">
              <w:rPr>
                <w:rStyle w:val="Emphasis"/>
                <w:rFonts w:asciiTheme="minorHAnsi" w:hAnsiTheme="minorHAnsi" w:cstheme="minorHAnsi"/>
                <w:sz w:val="22"/>
                <w:szCs w:val="22"/>
              </w:rPr>
              <w:t xml:space="preserve"> </w:t>
            </w:r>
            <w:r w:rsidR="004C1D99">
              <w:rPr>
                <w:rStyle w:val="Emphasis"/>
                <w:rFonts w:asciiTheme="minorHAnsi" w:hAnsiTheme="minorHAnsi" w:cstheme="minorHAnsi"/>
                <w:sz w:val="22"/>
                <w:szCs w:val="22"/>
              </w:rPr>
              <w:t>v</w:t>
            </w:r>
            <w:r w:rsidRPr="00657B11">
              <w:rPr>
                <w:rStyle w:val="Emphasis"/>
                <w:rFonts w:asciiTheme="minorHAnsi" w:hAnsiTheme="minorHAnsi" w:cstheme="minorHAnsi"/>
                <w:sz w:val="22"/>
                <w:szCs w:val="22"/>
              </w:rPr>
              <w:t>ivir</w:t>
            </w:r>
            <w:r w:rsidR="003A0958" w:rsidRPr="00657B11">
              <w:rPr>
                <w:rStyle w:val="Emphasis"/>
                <w:rFonts w:asciiTheme="minorHAnsi" w:hAnsiTheme="minorHAnsi" w:cstheme="minorHAnsi"/>
                <w:sz w:val="22"/>
                <w:szCs w:val="22"/>
              </w:rPr>
              <w:t xml:space="preserve"> </w:t>
            </w:r>
            <w:r w:rsidR="003A0958" w:rsidRPr="00657B11">
              <w:rPr>
                <w:rStyle w:val="Emphasis"/>
                <w:rFonts w:asciiTheme="minorHAnsi" w:hAnsiTheme="minorHAnsi" w:cstheme="minorHAnsi"/>
                <w:i w:val="0"/>
                <w:iCs w:val="0"/>
                <w:sz w:val="22"/>
                <w:szCs w:val="22"/>
              </w:rPr>
              <w:t>as it is referred to in many Latin American countries</w:t>
            </w:r>
            <w:r w:rsidR="00657B11" w:rsidRPr="00657B11">
              <w:rPr>
                <w:rFonts w:asciiTheme="minorHAnsi" w:hAnsiTheme="minorHAnsi" w:cstheme="minorHAnsi"/>
                <w:sz w:val="22"/>
                <w:szCs w:val="22"/>
              </w:rPr>
              <w:t xml:space="preserve"> (Acosta, 2020)</w:t>
            </w:r>
            <w:r w:rsidRPr="00657B11">
              <w:rPr>
                <w:rFonts w:asciiTheme="minorHAnsi" w:hAnsiTheme="minorHAnsi" w:cstheme="minorHAnsi"/>
                <w:sz w:val="22"/>
                <w:szCs w:val="22"/>
              </w:rPr>
              <w:t>.</w:t>
            </w:r>
          </w:p>
          <w:p w14:paraId="3A53C6F0" w14:textId="77777777" w:rsidR="00A968B0" w:rsidRDefault="00A968B0" w:rsidP="00657B11">
            <w:pPr>
              <w:pStyle w:val="p1"/>
              <w:rPr>
                <w:rFonts w:asciiTheme="minorHAnsi" w:hAnsiTheme="minorHAnsi" w:cstheme="minorHAnsi"/>
                <w:sz w:val="22"/>
                <w:szCs w:val="22"/>
              </w:rPr>
            </w:pPr>
          </w:p>
          <w:p w14:paraId="37A579D9" w14:textId="3CC70691" w:rsidR="00111DA2" w:rsidRDefault="002E35B2" w:rsidP="00657B11">
            <w:pPr>
              <w:pStyle w:val="p1"/>
              <w:rPr>
                <w:rFonts w:asciiTheme="minorHAnsi" w:hAnsiTheme="minorHAnsi" w:cstheme="minorHAnsi"/>
                <w:sz w:val="22"/>
                <w:szCs w:val="22"/>
              </w:rPr>
            </w:pPr>
            <w:r w:rsidRPr="002E35B2">
              <w:rPr>
                <w:rFonts w:asciiTheme="minorHAnsi" w:hAnsiTheme="minorHAnsi" w:cstheme="minorHAnsi"/>
                <w:sz w:val="22"/>
                <w:szCs w:val="22"/>
              </w:rPr>
              <w:t xml:space="preserve">Despite being one of the most resource-rich states in Mexico, Chiapas remains one of the most marginalised, with high rates of poverty and educational exclusion, particularly among Indigenous </w:t>
            </w:r>
            <w:r w:rsidRPr="002E35B2">
              <w:rPr>
                <w:rFonts w:asciiTheme="minorHAnsi" w:hAnsiTheme="minorHAnsi" w:cstheme="minorHAnsi"/>
                <w:sz w:val="22"/>
                <w:szCs w:val="22"/>
              </w:rPr>
              <w:t xml:space="preserve">populations. Government led education initiatives have often exacerbated this situation by undermining Indigenous knowledge systems and languages, reinforcing external models that disconnect schooling from </w:t>
            </w:r>
            <w:r w:rsidRPr="00657B11">
              <w:rPr>
                <w:rFonts w:asciiTheme="minorHAnsi" w:hAnsiTheme="minorHAnsi" w:cstheme="minorHAnsi"/>
                <w:sz w:val="22"/>
                <w:szCs w:val="22"/>
              </w:rPr>
              <w:t>local realities</w:t>
            </w:r>
            <w:r w:rsidR="00657B11" w:rsidRPr="00657B11">
              <w:rPr>
                <w:rFonts w:asciiTheme="minorHAnsi" w:hAnsiTheme="minorHAnsi" w:cstheme="minorHAnsi"/>
                <w:sz w:val="22"/>
                <w:szCs w:val="22"/>
              </w:rPr>
              <w:t xml:space="preserve"> (Harvey, 1998)</w:t>
            </w:r>
            <w:r w:rsidRPr="00657B11">
              <w:rPr>
                <w:rFonts w:asciiTheme="minorHAnsi" w:hAnsiTheme="minorHAnsi" w:cstheme="minorHAnsi"/>
                <w:sz w:val="22"/>
                <w:szCs w:val="22"/>
              </w:rPr>
              <w:t>. In contrast</w:t>
            </w:r>
            <w:r w:rsidRPr="002E35B2">
              <w:rPr>
                <w:rFonts w:asciiTheme="minorHAnsi" w:hAnsiTheme="minorHAnsi" w:cstheme="minorHAnsi"/>
                <w:sz w:val="22"/>
                <w:szCs w:val="22"/>
              </w:rPr>
              <w:t>, the Zapatista model challenges these dominant development paradigms, offering a powerful example of grassroots resistance and a reimagined form of</w:t>
            </w:r>
            <w:r>
              <w:t xml:space="preserve"> </w:t>
            </w:r>
            <w:r w:rsidRPr="002E35B2">
              <w:rPr>
                <w:rFonts w:asciiTheme="minorHAnsi" w:hAnsiTheme="minorHAnsi" w:cstheme="minorHAnsi"/>
                <w:sz w:val="22"/>
                <w:szCs w:val="22"/>
              </w:rPr>
              <w:t xml:space="preserve">education that is rooted in </w:t>
            </w:r>
            <w:r w:rsidRPr="00657B11">
              <w:rPr>
                <w:rFonts w:asciiTheme="minorHAnsi" w:hAnsiTheme="minorHAnsi" w:cstheme="minorHAnsi"/>
                <w:sz w:val="22"/>
                <w:szCs w:val="22"/>
              </w:rPr>
              <w:t>cultural identity, autonomy, and community needs</w:t>
            </w:r>
            <w:r w:rsidR="00657B11" w:rsidRPr="00657B11">
              <w:rPr>
                <w:rFonts w:asciiTheme="minorHAnsi" w:hAnsiTheme="minorHAnsi" w:cstheme="minorHAnsi"/>
                <w:sz w:val="22"/>
                <w:szCs w:val="22"/>
              </w:rPr>
              <w:t xml:space="preserve"> (</w:t>
            </w:r>
            <w:proofErr w:type="spellStart"/>
            <w:r w:rsidR="00657B11" w:rsidRPr="00657B11">
              <w:rPr>
                <w:rFonts w:asciiTheme="minorHAnsi" w:hAnsiTheme="minorHAnsi" w:cstheme="minorHAnsi"/>
                <w:sz w:val="22"/>
                <w:szCs w:val="22"/>
              </w:rPr>
              <w:t>Baronnet</w:t>
            </w:r>
            <w:proofErr w:type="spellEnd"/>
            <w:r w:rsidR="00657B11" w:rsidRPr="00657B11">
              <w:rPr>
                <w:rFonts w:asciiTheme="minorHAnsi" w:hAnsiTheme="minorHAnsi" w:cstheme="minorHAnsi"/>
                <w:sz w:val="22"/>
                <w:szCs w:val="22"/>
              </w:rPr>
              <w:t xml:space="preserve"> &amp; Stahler-</w:t>
            </w:r>
            <w:proofErr w:type="spellStart"/>
            <w:r w:rsidR="00657B11" w:rsidRPr="00657B11">
              <w:rPr>
                <w:rFonts w:asciiTheme="minorHAnsi" w:hAnsiTheme="minorHAnsi" w:cstheme="minorHAnsi"/>
                <w:sz w:val="22"/>
                <w:szCs w:val="22"/>
              </w:rPr>
              <w:t>Sholk</w:t>
            </w:r>
            <w:proofErr w:type="spellEnd"/>
            <w:r w:rsidR="00657B11" w:rsidRPr="00657B11">
              <w:rPr>
                <w:rFonts w:asciiTheme="minorHAnsi" w:hAnsiTheme="minorHAnsi" w:cstheme="minorHAnsi"/>
                <w:sz w:val="22"/>
                <w:szCs w:val="22"/>
              </w:rPr>
              <w:t>, 2019)</w:t>
            </w:r>
            <w:r w:rsidRPr="00657B11">
              <w:rPr>
                <w:rFonts w:asciiTheme="minorHAnsi" w:hAnsiTheme="minorHAnsi" w:cstheme="minorHAnsi"/>
                <w:sz w:val="22"/>
                <w:szCs w:val="22"/>
              </w:rPr>
              <w:t>.</w:t>
            </w:r>
          </w:p>
          <w:p w14:paraId="5580B1A7" w14:textId="77777777" w:rsidR="00A467FA" w:rsidRDefault="00A467FA" w:rsidP="00657B11">
            <w:pPr>
              <w:pStyle w:val="p1"/>
              <w:rPr>
                <w:rFonts w:asciiTheme="minorHAnsi" w:hAnsiTheme="minorHAnsi" w:cstheme="minorHAnsi"/>
                <w:sz w:val="22"/>
                <w:szCs w:val="22"/>
              </w:rPr>
            </w:pPr>
          </w:p>
          <w:p w14:paraId="368B7A6F" w14:textId="2DA79B69" w:rsidR="000035A6" w:rsidRPr="004F4E36" w:rsidRDefault="00A467FA" w:rsidP="000035A6">
            <w:pPr>
              <w:pStyle w:val="p1"/>
              <w:rPr>
                <w:rFonts w:asciiTheme="minorHAnsi" w:hAnsiTheme="minorHAnsi" w:cstheme="minorHAnsi"/>
                <w:sz w:val="22"/>
                <w:szCs w:val="22"/>
              </w:rPr>
            </w:pPr>
            <w:r w:rsidRPr="004F4E36">
              <w:rPr>
                <w:rFonts w:asciiTheme="minorHAnsi" w:hAnsiTheme="minorHAnsi" w:cstheme="minorHAnsi"/>
                <w:sz w:val="22"/>
                <w:szCs w:val="22"/>
              </w:rPr>
              <w:t>Th</w:t>
            </w:r>
            <w:r>
              <w:rPr>
                <w:rFonts w:asciiTheme="minorHAnsi" w:hAnsiTheme="minorHAnsi" w:cstheme="minorHAnsi"/>
                <w:sz w:val="22"/>
                <w:szCs w:val="22"/>
              </w:rPr>
              <w:t>e</w:t>
            </w:r>
            <w:r w:rsidRPr="004F4E36">
              <w:rPr>
                <w:rFonts w:asciiTheme="minorHAnsi" w:hAnsiTheme="minorHAnsi" w:cstheme="minorHAnsi"/>
                <w:sz w:val="22"/>
                <w:szCs w:val="22"/>
              </w:rPr>
              <w:t xml:space="preserve"> research aim</w:t>
            </w:r>
            <w:r>
              <w:rPr>
                <w:rFonts w:asciiTheme="minorHAnsi" w:hAnsiTheme="minorHAnsi" w:cstheme="minorHAnsi"/>
                <w:sz w:val="22"/>
                <w:szCs w:val="22"/>
              </w:rPr>
              <w:t>ed</w:t>
            </w:r>
            <w:r w:rsidRPr="004F4E36">
              <w:rPr>
                <w:rFonts w:asciiTheme="minorHAnsi" w:hAnsiTheme="minorHAnsi" w:cstheme="minorHAnsi"/>
                <w:sz w:val="22"/>
                <w:szCs w:val="22"/>
              </w:rPr>
              <w:t xml:space="preserve"> to examine how the inclusion of Indigenous knowledge in Zapatista and other autonomous Indigenous schools in Chiapas intersect</w:t>
            </w:r>
            <w:r>
              <w:rPr>
                <w:rFonts w:asciiTheme="minorHAnsi" w:hAnsiTheme="minorHAnsi" w:cstheme="minorHAnsi"/>
                <w:sz w:val="22"/>
                <w:szCs w:val="22"/>
              </w:rPr>
              <w:t>ed</w:t>
            </w:r>
            <w:r w:rsidRPr="004F4E36">
              <w:rPr>
                <w:rFonts w:asciiTheme="minorHAnsi" w:hAnsiTheme="minorHAnsi" w:cstheme="minorHAnsi"/>
                <w:sz w:val="22"/>
                <w:szCs w:val="22"/>
              </w:rPr>
              <w:t xml:space="preserve"> with the well-being of</w:t>
            </w:r>
            <w:r>
              <w:rPr>
                <w:rFonts w:asciiTheme="minorHAnsi" w:hAnsiTheme="minorHAnsi" w:cstheme="minorHAnsi"/>
                <w:sz w:val="22"/>
                <w:szCs w:val="22"/>
              </w:rPr>
              <w:t xml:space="preserve"> </w:t>
            </w:r>
            <w:r w:rsidRPr="004F4E36">
              <w:rPr>
                <w:rFonts w:asciiTheme="minorHAnsi" w:hAnsiTheme="minorHAnsi" w:cstheme="minorHAnsi"/>
                <w:sz w:val="22"/>
                <w:szCs w:val="22"/>
              </w:rPr>
              <w:t>the Indigenous</w:t>
            </w:r>
            <w:r w:rsidR="000035A6" w:rsidRPr="004F4E36">
              <w:rPr>
                <w:rFonts w:asciiTheme="minorHAnsi" w:hAnsiTheme="minorHAnsi" w:cstheme="minorHAnsi"/>
                <w:sz w:val="22"/>
                <w:szCs w:val="22"/>
              </w:rPr>
              <w:t xml:space="preserve"> </w:t>
            </w:r>
            <w:r w:rsidR="000035A6" w:rsidRPr="004F4E36">
              <w:rPr>
                <w:rFonts w:asciiTheme="minorHAnsi" w:hAnsiTheme="minorHAnsi" w:cstheme="minorHAnsi"/>
                <w:sz w:val="22"/>
                <w:szCs w:val="22"/>
              </w:rPr>
              <w:t xml:space="preserve">communities. This aim </w:t>
            </w:r>
            <w:r w:rsidR="000035A6">
              <w:rPr>
                <w:rFonts w:asciiTheme="minorHAnsi" w:hAnsiTheme="minorHAnsi" w:cstheme="minorHAnsi"/>
                <w:sz w:val="22"/>
                <w:szCs w:val="22"/>
              </w:rPr>
              <w:t>was</w:t>
            </w:r>
            <w:r w:rsidR="000035A6" w:rsidRPr="004F4E36">
              <w:rPr>
                <w:rFonts w:asciiTheme="minorHAnsi" w:hAnsiTheme="minorHAnsi" w:cstheme="minorHAnsi"/>
                <w:sz w:val="22"/>
                <w:szCs w:val="22"/>
              </w:rPr>
              <w:t xml:space="preserve"> framed by three guiding questions:</w:t>
            </w:r>
          </w:p>
          <w:p w14:paraId="1FE4C626" w14:textId="77777777" w:rsidR="000035A6" w:rsidRPr="004F4E36" w:rsidRDefault="000035A6" w:rsidP="000035A6">
            <w:pPr>
              <w:pStyle w:val="p1"/>
              <w:rPr>
                <w:rFonts w:asciiTheme="minorHAnsi" w:hAnsiTheme="minorHAnsi" w:cstheme="minorHAnsi"/>
                <w:sz w:val="22"/>
                <w:szCs w:val="22"/>
              </w:rPr>
            </w:pPr>
          </w:p>
          <w:p w14:paraId="269260C5" w14:textId="77777777" w:rsidR="000035A6" w:rsidRPr="004F4E36" w:rsidRDefault="000035A6" w:rsidP="000035A6">
            <w:pPr>
              <w:pStyle w:val="p1"/>
              <w:rPr>
                <w:rFonts w:asciiTheme="minorHAnsi" w:hAnsiTheme="minorHAnsi" w:cstheme="minorHAnsi"/>
                <w:sz w:val="22"/>
                <w:szCs w:val="22"/>
              </w:rPr>
            </w:pPr>
            <w:r w:rsidRPr="004F4E36">
              <w:rPr>
                <w:rFonts w:asciiTheme="minorHAnsi" w:hAnsiTheme="minorHAnsi" w:cstheme="minorHAnsi"/>
                <w:sz w:val="22"/>
                <w:szCs w:val="22"/>
              </w:rPr>
              <w:lastRenderedPageBreak/>
              <w:t>•</w:t>
            </w:r>
            <w:r w:rsidRPr="004F4E36">
              <w:rPr>
                <w:rStyle w:val="s1"/>
                <w:rFonts w:asciiTheme="minorHAnsi" w:hAnsiTheme="minorHAnsi" w:cstheme="minorHAnsi"/>
                <w:sz w:val="22"/>
                <w:szCs w:val="22"/>
              </w:rPr>
              <w:t xml:space="preserve"> </w:t>
            </w:r>
            <w:r w:rsidRPr="004F4E36">
              <w:rPr>
                <w:rFonts w:asciiTheme="minorHAnsi" w:hAnsiTheme="minorHAnsi" w:cstheme="minorHAnsi"/>
                <w:sz w:val="22"/>
                <w:szCs w:val="22"/>
              </w:rPr>
              <w:t>First, why did the Zapatistas choose to create their own curriculum post the</w:t>
            </w:r>
          </w:p>
          <w:p w14:paraId="58972B8C" w14:textId="77777777" w:rsidR="000035A6" w:rsidRPr="004F4E36" w:rsidRDefault="000035A6" w:rsidP="000035A6">
            <w:pPr>
              <w:pStyle w:val="p1"/>
              <w:rPr>
                <w:rFonts w:asciiTheme="minorHAnsi" w:hAnsiTheme="minorHAnsi" w:cstheme="minorHAnsi"/>
                <w:sz w:val="22"/>
                <w:szCs w:val="22"/>
              </w:rPr>
            </w:pPr>
            <w:r w:rsidRPr="004F4E36">
              <w:rPr>
                <w:rFonts w:asciiTheme="minorHAnsi" w:hAnsiTheme="minorHAnsi" w:cstheme="minorHAnsi"/>
                <w:sz w:val="22"/>
                <w:szCs w:val="22"/>
              </w:rPr>
              <w:t>signing of NAFTA?</w:t>
            </w:r>
          </w:p>
          <w:p w14:paraId="3A6E8CBA" w14:textId="77777777" w:rsidR="000035A6" w:rsidRPr="004F4E36" w:rsidRDefault="000035A6" w:rsidP="000035A6">
            <w:pPr>
              <w:pStyle w:val="p1"/>
              <w:rPr>
                <w:rFonts w:asciiTheme="minorHAnsi" w:hAnsiTheme="minorHAnsi" w:cstheme="minorHAnsi"/>
                <w:sz w:val="22"/>
                <w:szCs w:val="22"/>
              </w:rPr>
            </w:pPr>
          </w:p>
          <w:p w14:paraId="3E198081" w14:textId="77777777" w:rsidR="000035A6" w:rsidRPr="004F4E36" w:rsidRDefault="000035A6" w:rsidP="000035A6">
            <w:pPr>
              <w:pStyle w:val="p1"/>
              <w:rPr>
                <w:rFonts w:asciiTheme="minorHAnsi" w:hAnsiTheme="minorHAnsi" w:cstheme="minorHAnsi"/>
                <w:sz w:val="22"/>
                <w:szCs w:val="22"/>
              </w:rPr>
            </w:pPr>
            <w:r w:rsidRPr="004F4E36">
              <w:rPr>
                <w:rFonts w:asciiTheme="minorHAnsi" w:hAnsiTheme="minorHAnsi" w:cstheme="minorHAnsi"/>
                <w:sz w:val="22"/>
                <w:szCs w:val="22"/>
              </w:rPr>
              <w:t>•</w:t>
            </w:r>
            <w:r w:rsidRPr="004F4E36">
              <w:rPr>
                <w:rStyle w:val="s1"/>
                <w:rFonts w:asciiTheme="minorHAnsi" w:hAnsiTheme="minorHAnsi" w:cstheme="minorHAnsi"/>
                <w:sz w:val="22"/>
                <w:szCs w:val="22"/>
              </w:rPr>
              <w:t xml:space="preserve"> </w:t>
            </w:r>
            <w:r w:rsidRPr="004F4E36">
              <w:rPr>
                <w:rFonts w:asciiTheme="minorHAnsi" w:hAnsiTheme="minorHAnsi" w:cstheme="minorHAnsi"/>
                <w:sz w:val="22"/>
                <w:szCs w:val="22"/>
              </w:rPr>
              <w:t>Second, what challenges have Zapatista and other autonomous Indigenous</w:t>
            </w:r>
            <w:r>
              <w:rPr>
                <w:rFonts w:asciiTheme="minorHAnsi" w:hAnsiTheme="minorHAnsi" w:cstheme="minorHAnsi"/>
                <w:sz w:val="22"/>
                <w:szCs w:val="22"/>
              </w:rPr>
              <w:t xml:space="preserve"> </w:t>
            </w:r>
            <w:r w:rsidRPr="004F4E36">
              <w:rPr>
                <w:rFonts w:asciiTheme="minorHAnsi" w:hAnsiTheme="minorHAnsi" w:cstheme="minorHAnsi"/>
                <w:sz w:val="22"/>
                <w:szCs w:val="22"/>
              </w:rPr>
              <w:t>communities in Chiapas faced in moving away from the national education</w:t>
            </w:r>
          </w:p>
          <w:p w14:paraId="7363B2E5" w14:textId="77777777" w:rsidR="000035A6" w:rsidRPr="004F4E36" w:rsidRDefault="000035A6" w:rsidP="000035A6">
            <w:pPr>
              <w:pStyle w:val="p1"/>
              <w:rPr>
                <w:rFonts w:asciiTheme="minorHAnsi" w:hAnsiTheme="minorHAnsi" w:cstheme="minorHAnsi"/>
                <w:sz w:val="22"/>
                <w:szCs w:val="22"/>
              </w:rPr>
            </w:pPr>
            <w:r w:rsidRPr="004F4E36">
              <w:rPr>
                <w:rFonts w:asciiTheme="minorHAnsi" w:hAnsiTheme="minorHAnsi" w:cstheme="minorHAnsi"/>
                <w:sz w:val="22"/>
                <w:szCs w:val="22"/>
              </w:rPr>
              <w:t>system and developing their own education models?</w:t>
            </w:r>
          </w:p>
          <w:p w14:paraId="52D2F9D2" w14:textId="77777777" w:rsidR="000035A6" w:rsidRPr="004F4E36" w:rsidRDefault="000035A6" w:rsidP="000035A6">
            <w:pPr>
              <w:pStyle w:val="p1"/>
              <w:rPr>
                <w:rFonts w:asciiTheme="minorHAnsi" w:hAnsiTheme="minorHAnsi" w:cstheme="minorHAnsi"/>
                <w:sz w:val="22"/>
                <w:szCs w:val="22"/>
              </w:rPr>
            </w:pPr>
          </w:p>
          <w:p w14:paraId="02C6C615" w14:textId="77777777" w:rsidR="000035A6" w:rsidRPr="004F4E36" w:rsidRDefault="000035A6" w:rsidP="000035A6">
            <w:pPr>
              <w:pStyle w:val="p1"/>
              <w:rPr>
                <w:rFonts w:asciiTheme="minorHAnsi" w:hAnsiTheme="minorHAnsi" w:cstheme="minorHAnsi"/>
                <w:sz w:val="22"/>
                <w:szCs w:val="22"/>
              </w:rPr>
            </w:pPr>
            <w:r w:rsidRPr="004F4E36">
              <w:rPr>
                <w:rFonts w:asciiTheme="minorHAnsi" w:hAnsiTheme="minorHAnsi" w:cstheme="minorHAnsi"/>
                <w:sz w:val="22"/>
                <w:szCs w:val="22"/>
              </w:rPr>
              <w:t>•</w:t>
            </w:r>
            <w:r w:rsidRPr="004F4E36">
              <w:rPr>
                <w:rStyle w:val="s1"/>
                <w:rFonts w:asciiTheme="minorHAnsi" w:hAnsiTheme="minorHAnsi" w:cstheme="minorHAnsi"/>
                <w:sz w:val="22"/>
                <w:szCs w:val="22"/>
              </w:rPr>
              <w:t xml:space="preserve"> </w:t>
            </w:r>
            <w:r w:rsidRPr="004F4E36">
              <w:rPr>
                <w:rFonts w:asciiTheme="minorHAnsi" w:hAnsiTheme="minorHAnsi" w:cstheme="minorHAnsi"/>
                <w:sz w:val="22"/>
                <w:szCs w:val="22"/>
              </w:rPr>
              <w:t>And lastly, how has the development of autonomous education structures by the</w:t>
            </w:r>
          </w:p>
          <w:p w14:paraId="1EA9D079" w14:textId="77777777" w:rsidR="000035A6" w:rsidRDefault="000035A6" w:rsidP="000035A6">
            <w:pPr>
              <w:pStyle w:val="p1"/>
              <w:rPr>
                <w:rFonts w:asciiTheme="minorHAnsi" w:hAnsiTheme="minorHAnsi" w:cstheme="minorHAnsi"/>
                <w:sz w:val="22"/>
                <w:szCs w:val="22"/>
              </w:rPr>
            </w:pPr>
            <w:r w:rsidRPr="004F4E36">
              <w:rPr>
                <w:rFonts w:asciiTheme="minorHAnsi" w:hAnsiTheme="minorHAnsi" w:cstheme="minorHAnsi"/>
                <w:sz w:val="22"/>
                <w:szCs w:val="22"/>
              </w:rPr>
              <w:t>Zapatistas and other Indigenous communities in Chiapas influenced the well-being of Indigenous peoples in the region?</w:t>
            </w:r>
          </w:p>
          <w:p w14:paraId="37F934B2" w14:textId="77777777" w:rsidR="006344A5" w:rsidRPr="004F4E36" w:rsidRDefault="006344A5" w:rsidP="00CF05B4">
            <w:pPr>
              <w:pStyle w:val="BlockText"/>
              <w:rPr>
                <w:rFonts w:asciiTheme="minorHAnsi" w:hAnsiTheme="minorHAnsi" w:cstheme="minorHAnsi"/>
                <w:szCs w:val="22"/>
              </w:rPr>
            </w:pPr>
          </w:p>
        </w:tc>
      </w:tr>
      <w:tr w:rsidR="006344A5" w14:paraId="37F934BF" w14:textId="77777777" w:rsidTr="00831C12">
        <w:tc>
          <w:tcPr>
            <w:tcW w:w="5103" w:type="dxa"/>
          </w:tcPr>
          <w:p w14:paraId="7B36FF8B" w14:textId="77777777" w:rsidR="004C1610" w:rsidRDefault="006344A5" w:rsidP="004C1610">
            <w:pPr>
              <w:pStyle w:val="BulletPoints"/>
              <w:numPr>
                <w:ilvl w:val="0"/>
                <w:numId w:val="0"/>
              </w:numPr>
              <w:rPr>
                <w:rFonts w:asciiTheme="minorHAnsi" w:hAnsiTheme="minorHAnsi" w:cstheme="minorHAnsi"/>
                <w:b/>
                <w:color w:val="864EA8" w:themeColor="accent1" w:themeShade="BF"/>
                <w:sz w:val="22"/>
                <w:szCs w:val="22"/>
              </w:rPr>
            </w:pPr>
            <w:r w:rsidRPr="004F4E36">
              <w:rPr>
                <w:rFonts w:asciiTheme="minorHAnsi" w:hAnsiTheme="minorHAnsi" w:cstheme="minorHAnsi"/>
                <w:b/>
                <w:color w:val="864EA8" w:themeColor="accent1" w:themeShade="BF"/>
                <w:sz w:val="22"/>
                <w:szCs w:val="22"/>
              </w:rPr>
              <w:lastRenderedPageBreak/>
              <w:t>Key findings</w:t>
            </w:r>
          </w:p>
          <w:p w14:paraId="222AAF31" w14:textId="54BECB56" w:rsidR="004C1D99" w:rsidRDefault="004F4E36" w:rsidP="002C62AA">
            <w:pPr>
              <w:pStyle w:val="p1"/>
              <w:rPr>
                <w:rFonts w:asciiTheme="minorHAnsi" w:hAnsiTheme="minorHAnsi" w:cstheme="minorHAnsi"/>
                <w:sz w:val="22"/>
                <w:szCs w:val="22"/>
              </w:rPr>
            </w:pPr>
            <w:r w:rsidRPr="004F4E36">
              <w:rPr>
                <w:rFonts w:asciiTheme="minorHAnsi" w:hAnsiTheme="minorHAnsi" w:cstheme="minorHAnsi"/>
                <w:sz w:val="22"/>
                <w:szCs w:val="22"/>
              </w:rPr>
              <w:t>The findings s</w:t>
            </w:r>
            <w:r w:rsidR="00973F95">
              <w:rPr>
                <w:rFonts w:asciiTheme="minorHAnsi" w:hAnsiTheme="minorHAnsi" w:cstheme="minorHAnsi"/>
                <w:sz w:val="22"/>
                <w:szCs w:val="22"/>
              </w:rPr>
              <w:t>uggest</w:t>
            </w:r>
            <w:r w:rsidRPr="004F4E36">
              <w:rPr>
                <w:rFonts w:asciiTheme="minorHAnsi" w:hAnsiTheme="minorHAnsi" w:cstheme="minorHAnsi"/>
                <w:sz w:val="22"/>
                <w:szCs w:val="22"/>
              </w:rPr>
              <w:t xml:space="preserve"> that Indigenous education in Chiapas strengthens collective well-being and academic achievement when it is rooted in local language, values, and knowledge. Education is being reclaimed as a source of dignity, no longer a tool for assimilation. Language revitalisation, agroecological practices, intergenerational learning, and autonomy were identified as critical to resilience and empowerment.</w:t>
            </w:r>
            <w:r w:rsidR="002C62AA">
              <w:rPr>
                <w:rFonts w:asciiTheme="minorHAnsi" w:hAnsiTheme="minorHAnsi" w:cstheme="minorHAnsi"/>
                <w:sz w:val="22"/>
                <w:szCs w:val="22"/>
              </w:rPr>
              <w:t xml:space="preserve"> As one participant stated</w:t>
            </w:r>
            <w:r w:rsidR="004C1D99">
              <w:rPr>
                <w:rFonts w:asciiTheme="minorHAnsi" w:hAnsiTheme="minorHAnsi" w:cstheme="minorHAnsi"/>
                <w:sz w:val="22"/>
                <w:szCs w:val="22"/>
              </w:rPr>
              <w:t>:</w:t>
            </w:r>
            <w:r w:rsidR="002C62AA">
              <w:rPr>
                <w:rFonts w:asciiTheme="minorHAnsi" w:hAnsiTheme="minorHAnsi" w:cstheme="minorHAnsi"/>
                <w:sz w:val="22"/>
                <w:szCs w:val="22"/>
              </w:rPr>
              <w:t xml:space="preserve"> </w:t>
            </w:r>
          </w:p>
          <w:p w14:paraId="549505FF" w14:textId="77777777" w:rsidR="004C1D99" w:rsidRDefault="004C1D99" w:rsidP="002C62AA">
            <w:pPr>
              <w:pStyle w:val="p1"/>
              <w:rPr>
                <w:rFonts w:asciiTheme="minorHAnsi" w:hAnsiTheme="minorHAnsi" w:cstheme="minorHAnsi"/>
                <w:sz w:val="22"/>
                <w:szCs w:val="22"/>
              </w:rPr>
            </w:pPr>
          </w:p>
          <w:p w14:paraId="483364B1" w14:textId="5A8FAAB7" w:rsidR="004F4E36" w:rsidRPr="004C1D99" w:rsidRDefault="002C62AA" w:rsidP="004C1D99">
            <w:pPr>
              <w:pStyle w:val="p1"/>
              <w:jc w:val="center"/>
              <w:rPr>
                <w:rFonts w:asciiTheme="minorHAnsi" w:hAnsiTheme="minorHAnsi" w:cstheme="minorHAnsi"/>
                <w:i/>
                <w:iCs/>
                <w:sz w:val="22"/>
                <w:szCs w:val="22"/>
              </w:rPr>
            </w:pPr>
            <w:r w:rsidRPr="004C1D99">
              <w:rPr>
                <w:rFonts w:asciiTheme="minorHAnsi" w:hAnsiTheme="minorHAnsi" w:cstheme="minorHAnsi"/>
                <w:i/>
                <w:iCs/>
                <w:sz w:val="22"/>
                <w:szCs w:val="22"/>
              </w:rPr>
              <w:t>“It (education) focuses on the need to raise awareness in the children and not only teach them the facts… What is most important to us as promoters of education is that the children are conscious of their situation and free.”</w:t>
            </w:r>
          </w:p>
          <w:p w14:paraId="1A106A9C" w14:textId="77777777" w:rsidR="00930817" w:rsidRDefault="00930817" w:rsidP="002C62AA">
            <w:pPr>
              <w:pStyle w:val="p1"/>
              <w:rPr>
                <w:rFonts w:asciiTheme="minorHAnsi" w:hAnsiTheme="minorHAnsi" w:cstheme="minorHAnsi"/>
                <w:sz w:val="22"/>
                <w:szCs w:val="22"/>
              </w:rPr>
            </w:pPr>
          </w:p>
          <w:p w14:paraId="7F5909CE" w14:textId="690968EB" w:rsidR="00930817" w:rsidRPr="002C62AA" w:rsidRDefault="00930817" w:rsidP="002C62AA">
            <w:pPr>
              <w:pStyle w:val="p1"/>
              <w:rPr>
                <w:rFonts w:asciiTheme="minorHAnsi" w:hAnsiTheme="minorHAnsi" w:cstheme="minorHAnsi"/>
                <w:sz w:val="22"/>
                <w:szCs w:val="22"/>
              </w:rPr>
            </w:pPr>
            <w:r w:rsidRPr="00383E17">
              <w:rPr>
                <w:color w:val="000000" w:themeColor="text1"/>
              </w:rPr>
              <w:fldChar w:fldCharType="begin"/>
            </w:r>
            <w:r w:rsidRPr="00383E17">
              <w:rPr>
                <w:color w:val="000000" w:themeColor="text1"/>
              </w:rPr>
              <w:instrText xml:space="preserve"> INCLUDEPICTURE "https://roarmag.org/wp-content/uploads/2013/12/escuelita-zapatista.jpg" \* MERGEFORMATINET </w:instrText>
            </w:r>
            <w:r w:rsidRPr="00383E17">
              <w:rPr>
                <w:color w:val="000000" w:themeColor="text1"/>
              </w:rPr>
              <w:fldChar w:fldCharType="separate"/>
            </w:r>
            <w:r w:rsidRPr="00383E17">
              <w:rPr>
                <w:noProof/>
                <w:color w:val="000000" w:themeColor="text1"/>
              </w:rPr>
              <w:drawing>
                <wp:inline distT="0" distB="0" distL="0" distR="0" wp14:anchorId="290AFBAE" wp14:editId="46ADC0C3">
                  <wp:extent cx="4203700" cy="2816759"/>
                  <wp:effectExtent l="0" t="0" r="0" b="3175"/>
                  <wp:docPr id="3915078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03700" cy="2816759"/>
                          </a:xfrm>
                          <a:prstGeom prst="rect">
                            <a:avLst/>
                          </a:prstGeom>
                          <a:noFill/>
                          <a:ln>
                            <a:noFill/>
                          </a:ln>
                        </pic:spPr>
                      </pic:pic>
                    </a:graphicData>
                  </a:graphic>
                </wp:inline>
              </w:drawing>
            </w:r>
            <w:r w:rsidRPr="00383E17">
              <w:rPr>
                <w:color w:val="000000" w:themeColor="text1"/>
              </w:rPr>
              <w:fldChar w:fldCharType="end"/>
            </w:r>
          </w:p>
          <w:p w14:paraId="11192956" w14:textId="77777777" w:rsidR="004C1D99" w:rsidRDefault="00930817" w:rsidP="002C62AA">
            <w:pPr>
              <w:pStyle w:val="p1"/>
              <w:rPr>
                <w:rFonts w:asciiTheme="minorHAnsi" w:hAnsiTheme="minorHAnsi" w:cstheme="minorHAnsi"/>
                <w:i/>
                <w:iCs/>
                <w:color w:val="000000" w:themeColor="text1"/>
                <w:sz w:val="22"/>
                <w:szCs w:val="22"/>
              </w:rPr>
            </w:pPr>
            <w:r w:rsidRPr="00930817">
              <w:rPr>
                <w:rFonts w:asciiTheme="minorHAnsi" w:hAnsiTheme="minorHAnsi" w:cstheme="minorHAnsi"/>
                <w:i/>
                <w:iCs/>
                <w:color w:val="000000" w:themeColor="text1"/>
                <w:sz w:val="22"/>
                <w:szCs w:val="22"/>
              </w:rPr>
              <w:t>Zapatista students wearing bandanas in a community-built classroom. (Source: The Roar Mag, n.d.).</w:t>
            </w:r>
          </w:p>
          <w:p w14:paraId="334BEA73" w14:textId="0FB44073" w:rsidR="002C62AA" w:rsidRPr="00657B11" w:rsidRDefault="004F4E36" w:rsidP="002C62AA">
            <w:pPr>
              <w:pStyle w:val="p1"/>
              <w:rPr>
                <w:rFonts w:asciiTheme="minorHAnsi" w:hAnsiTheme="minorHAnsi" w:cstheme="minorHAnsi"/>
                <w:sz w:val="22"/>
                <w:szCs w:val="22"/>
              </w:rPr>
            </w:pPr>
            <w:r w:rsidRPr="004F4E36">
              <w:rPr>
                <w:rFonts w:asciiTheme="minorHAnsi" w:hAnsiTheme="minorHAnsi" w:cstheme="minorHAnsi"/>
                <w:sz w:val="22"/>
                <w:szCs w:val="22"/>
              </w:rPr>
              <w:br/>
              <w:t xml:space="preserve">Education, when embedded in community life, </w:t>
            </w:r>
            <w:r w:rsidRPr="00657B11">
              <w:rPr>
                <w:rFonts w:asciiTheme="minorHAnsi" w:hAnsiTheme="minorHAnsi" w:cstheme="minorHAnsi"/>
                <w:sz w:val="22"/>
                <w:szCs w:val="22"/>
              </w:rPr>
              <w:t>connects language, agriculture, spirituality, and ethics into a holistic system</w:t>
            </w:r>
            <w:r w:rsidR="00657B11" w:rsidRPr="00657B11">
              <w:rPr>
                <w:rFonts w:asciiTheme="minorHAnsi" w:hAnsiTheme="minorHAnsi" w:cstheme="minorHAnsi"/>
                <w:sz w:val="22"/>
                <w:szCs w:val="22"/>
              </w:rPr>
              <w:t xml:space="preserve"> (Reyes-Martínez,</w:t>
            </w:r>
            <w:r w:rsidR="00657B11">
              <w:rPr>
                <w:rFonts w:asciiTheme="minorHAnsi" w:hAnsiTheme="minorHAnsi" w:cstheme="minorHAnsi"/>
                <w:sz w:val="22"/>
                <w:szCs w:val="22"/>
              </w:rPr>
              <w:t xml:space="preserve"> </w:t>
            </w:r>
            <w:r w:rsidR="00657B11" w:rsidRPr="00657B11">
              <w:rPr>
                <w:rFonts w:asciiTheme="minorHAnsi" w:hAnsiTheme="minorHAnsi" w:cstheme="minorHAnsi"/>
                <w:sz w:val="22"/>
                <w:szCs w:val="22"/>
              </w:rPr>
              <w:t>2022)</w:t>
            </w:r>
            <w:r w:rsidRPr="00657B11">
              <w:rPr>
                <w:rFonts w:asciiTheme="minorHAnsi" w:hAnsiTheme="minorHAnsi" w:cstheme="minorHAnsi"/>
                <w:sz w:val="22"/>
                <w:szCs w:val="22"/>
              </w:rPr>
              <w:t>. Well-being does</w:t>
            </w:r>
            <w:r w:rsidRPr="004F4E36">
              <w:rPr>
                <w:rFonts w:asciiTheme="minorHAnsi" w:hAnsiTheme="minorHAnsi" w:cstheme="minorHAnsi"/>
                <w:sz w:val="22"/>
                <w:szCs w:val="22"/>
              </w:rPr>
              <w:t xml:space="preserve"> not arise from isolated interventions but from the weaving together of education with health, social relationships, and cultural survival. Autonomy emerged as both the cause and the outcome of this process, enabling communities to define their own visions of development and resist external impositions.</w:t>
            </w:r>
          </w:p>
          <w:p w14:paraId="0D4F2072" w14:textId="742182A7" w:rsidR="004F4E36" w:rsidRDefault="004F4E36" w:rsidP="002C62AA">
            <w:pPr>
              <w:pStyle w:val="p1"/>
              <w:rPr>
                <w:rFonts w:asciiTheme="minorHAnsi" w:hAnsiTheme="minorHAnsi" w:cstheme="minorHAnsi"/>
                <w:sz w:val="22"/>
                <w:szCs w:val="22"/>
              </w:rPr>
            </w:pPr>
            <w:r w:rsidRPr="004F4E36">
              <w:rPr>
                <w:rFonts w:asciiTheme="minorHAnsi" w:hAnsiTheme="minorHAnsi" w:cstheme="minorHAnsi"/>
                <w:sz w:val="22"/>
                <w:szCs w:val="22"/>
              </w:rPr>
              <w:br/>
              <w:t xml:space="preserve">Indigenous educators emphasised that State schooling historically labelled them as marginal or deficient, fostering internalised oppression. In contrast, autonomous schools affirm identity by teaching in </w:t>
            </w:r>
            <w:proofErr w:type="spellStart"/>
            <w:r w:rsidRPr="004F4E36">
              <w:rPr>
                <w:rFonts w:asciiTheme="minorHAnsi" w:hAnsiTheme="minorHAnsi" w:cstheme="minorHAnsi"/>
                <w:sz w:val="22"/>
                <w:szCs w:val="22"/>
              </w:rPr>
              <w:t>Tsotsil</w:t>
            </w:r>
            <w:proofErr w:type="spellEnd"/>
            <w:r w:rsidRPr="004F4E36">
              <w:rPr>
                <w:rFonts w:asciiTheme="minorHAnsi" w:hAnsiTheme="minorHAnsi" w:cstheme="minorHAnsi"/>
                <w:sz w:val="22"/>
                <w:szCs w:val="22"/>
              </w:rPr>
              <w:t xml:space="preserve"> and </w:t>
            </w:r>
            <w:proofErr w:type="spellStart"/>
            <w:r w:rsidRPr="004F4E36">
              <w:rPr>
                <w:rFonts w:asciiTheme="minorHAnsi" w:hAnsiTheme="minorHAnsi" w:cstheme="minorHAnsi"/>
                <w:sz w:val="22"/>
                <w:szCs w:val="22"/>
              </w:rPr>
              <w:t>Tseltal</w:t>
            </w:r>
            <w:proofErr w:type="spellEnd"/>
            <w:r w:rsidRPr="004F4E36">
              <w:rPr>
                <w:rFonts w:asciiTheme="minorHAnsi" w:hAnsiTheme="minorHAnsi" w:cstheme="minorHAnsi"/>
                <w:sz w:val="22"/>
                <w:szCs w:val="22"/>
              </w:rPr>
              <w:t xml:space="preserve">, embedding </w:t>
            </w:r>
            <w:r w:rsidRPr="00930817">
              <w:rPr>
                <w:rFonts w:asciiTheme="minorHAnsi" w:hAnsiTheme="minorHAnsi" w:cstheme="minorHAnsi"/>
                <w:i/>
                <w:iCs/>
                <w:sz w:val="22"/>
                <w:szCs w:val="22"/>
              </w:rPr>
              <w:t>buen vivir</w:t>
            </w:r>
            <w:r w:rsidRPr="004F4E36">
              <w:rPr>
                <w:rFonts w:asciiTheme="minorHAnsi" w:hAnsiTheme="minorHAnsi" w:cstheme="minorHAnsi"/>
                <w:sz w:val="22"/>
                <w:szCs w:val="22"/>
              </w:rPr>
              <w:t xml:space="preserve"> values, and involving elders. Stakeholders acknowledged challenges</w:t>
            </w:r>
            <w:r w:rsidR="007A7DAC">
              <w:rPr>
                <w:rFonts w:asciiTheme="minorHAnsi" w:hAnsiTheme="minorHAnsi" w:cstheme="minorHAnsi"/>
                <w:sz w:val="22"/>
                <w:szCs w:val="22"/>
              </w:rPr>
              <w:t xml:space="preserve"> </w:t>
            </w:r>
            <w:r w:rsidRPr="004F4E36">
              <w:rPr>
                <w:rFonts w:asciiTheme="minorHAnsi" w:hAnsiTheme="minorHAnsi" w:cstheme="minorHAnsi"/>
                <w:sz w:val="22"/>
                <w:szCs w:val="22"/>
              </w:rPr>
              <w:t>such as limited resources, gender dynamics, and threats from paramilitary or cartel forces</w:t>
            </w:r>
            <w:r w:rsidR="007A7DAC">
              <w:rPr>
                <w:rFonts w:asciiTheme="minorHAnsi" w:hAnsiTheme="minorHAnsi" w:cstheme="minorHAnsi"/>
                <w:sz w:val="22"/>
                <w:szCs w:val="22"/>
              </w:rPr>
              <w:t xml:space="preserve">, </w:t>
            </w:r>
            <w:r w:rsidRPr="004F4E36">
              <w:rPr>
                <w:rFonts w:asciiTheme="minorHAnsi" w:hAnsiTheme="minorHAnsi" w:cstheme="minorHAnsi"/>
                <w:sz w:val="22"/>
                <w:szCs w:val="22"/>
              </w:rPr>
              <w:t>but underscored resilience and adaptability as defining features of their struggle.</w:t>
            </w:r>
          </w:p>
          <w:p w14:paraId="06A1AA48" w14:textId="77777777" w:rsidR="004C1610" w:rsidRDefault="004C1610" w:rsidP="002C62AA">
            <w:pPr>
              <w:pStyle w:val="p1"/>
              <w:rPr>
                <w:rFonts w:asciiTheme="minorHAnsi" w:hAnsiTheme="minorHAnsi" w:cstheme="minorHAnsi"/>
                <w:sz w:val="22"/>
                <w:szCs w:val="22"/>
              </w:rPr>
            </w:pPr>
          </w:p>
          <w:p w14:paraId="53672A23" w14:textId="30ACF8B7" w:rsidR="004C1610" w:rsidRPr="004F4E36" w:rsidRDefault="004C1610" w:rsidP="002C62AA">
            <w:pPr>
              <w:pStyle w:val="p1"/>
              <w:rPr>
                <w:rFonts w:asciiTheme="minorHAnsi" w:hAnsiTheme="minorHAnsi" w:cstheme="minorHAnsi"/>
                <w:sz w:val="22"/>
                <w:szCs w:val="22"/>
              </w:rPr>
            </w:pPr>
            <w:r w:rsidRPr="00383E17">
              <w:rPr>
                <w:rFonts w:asciiTheme="minorHAnsi" w:hAnsiTheme="minorHAnsi"/>
                <w:color w:val="000000" w:themeColor="text1"/>
              </w:rPr>
              <w:fldChar w:fldCharType="begin"/>
            </w:r>
            <w:r w:rsidRPr="00383E17">
              <w:rPr>
                <w:rFonts w:asciiTheme="minorHAnsi" w:hAnsiTheme="minorHAnsi"/>
                <w:color w:val="000000" w:themeColor="text1"/>
              </w:rPr>
              <w:instrText xml:space="preserve"> INCLUDEPICTURE "https://www.cultura.gob.mx/revelandomexico/galeria/pedro-valtierra/sel-003.jpg" \* MERGEFORMATINET </w:instrText>
            </w:r>
            <w:r w:rsidRPr="00383E17">
              <w:rPr>
                <w:rFonts w:asciiTheme="minorHAnsi" w:hAnsiTheme="minorHAnsi"/>
                <w:color w:val="000000" w:themeColor="text1"/>
              </w:rPr>
              <w:fldChar w:fldCharType="separate"/>
            </w:r>
            <w:r w:rsidRPr="00383E17">
              <w:rPr>
                <w:rFonts w:asciiTheme="minorHAnsi" w:hAnsiTheme="minorHAnsi"/>
                <w:noProof/>
                <w:color w:val="000000" w:themeColor="text1"/>
              </w:rPr>
              <w:drawing>
                <wp:inline distT="0" distB="0" distL="0" distR="0" wp14:anchorId="76CE5327" wp14:editId="157C99AC">
                  <wp:extent cx="2816803" cy="1857154"/>
                  <wp:effectExtent l="0" t="0" r="3175" b="0"/>
                  <wp:docPr id="968768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0800000" flipV="1">
                            <a:off x="0" y="0"/>
                            <a:ext cx="2947585" cy="1943380"/>
                          </a:xfrm>
                          <a:prstGeom prst="rect">
                            <a:avLst/>
                          </a:prstGeom>
                          <a:noFill/>
                          <a:ln>
                            <a:noFill/>
                          </a:ln>
                        </pic:spPr>
                      </pic:pic>
                    </a:graphicData>
                  </a:graphic>
                </wp:inline>
              </w:drawing>
            </w:r>
            <w:r w:rsidRPr="00383E17">
              <w:rPr>
                <w:rFonts w:asciiTheme="minorHAnsi" w:hAnsiTheme="minorHAnsi"/>
                <w:color w:val="000000" w:themeColor="text1"/>
              </w:rPr>
              <w:fldChar w:fldCharType="end"/>
            </w:r>
          </w:p>
          <w:p w14:paraId="71D7070E" w14:textId="54A995A4" w:rsidR="00930817" w:rsidRPr="00930817" w:rsidRDefault="00930817" w:rsidP="007A7DAC">
            <w:pPr>
              <w:pStyle w:val="p1"/>
              <w:rPr>
                <w:rFonts w:asciiTheme="minorHAnsi" w:hAnsiTheme="minorHAnsi" w:cstheme="minorHAnsi"/>
                <w:i/>
                <w:iCs/>
                <w:color w:val="000000" w:themeColor="text1"/>
                <w:sz w:val="22"/>
                <w:szCs w:val="22"/>
              </w:rPr>
            </w:pPr>
            <w:r>
              <w:rPr>
                <w:rStyle w:val="Emphasis"/>
                <w:rFonts w:asciiTheme="minorHAnsi" w:hAnsiTheme="minorHAnsi" w:cstheme="minorHAnsi"/>
                <w:color w:val="000000" w:themeColor="text1"/>
                <w:sz w:val="22"/>
                <w:szCs w:val="22"/>
              </w:rPr>
              <w:t>Indigenous woman</w:t>
            </w:r>
            <w:r w:rsidRPr="00930817">
              <w:rPr>
                <w:rStyle w:val="Emphasis"/>
                <w:rFonts w:asciiTheme="minorHAnsi" w:hAnsiTheme="minorHAnsi" w:cstheme="minorHAnsi"/>
                <w:color w:val="000000" w:themeColor="text1"/>
                <w:sz w:val="22"/>
                <w:szCs w:val="22"/>
              </w:rPr>
              <w:t xml:space="preserve"> </w:t>
            </w:r>
            <w:r>
              <w:rPr>
                <w:rStyle w:val="Emphasis"/>
                <w:rFonts w:asciiTheme="minorHAnsi" w:hAnsiTheme="minorHAnsi" w:cstheme="minorHAnsi"/>
                <w:color w:val="000000" w:themeColor="text1"/>
                <w:sz w:val="22"/>
                <w:szCs w:val="22"/>
              </w:rPr>
              <w:t>from</w:t>
            </w:r>
            <w:r w:rsidRPr="00930817">
              <w:rPr>
                <w:rStyle w:val="Emphasis"/>
                <w:rFonts w:asciiTheme="minorHAnsi" w:hAnsiTheme="minorHAnsi" w:cstheme="minorHAnsi"/>
                <w:color w:val="000000" w:themeColor="text1"/>
                <w:sz w:val="22"/>
                <w:szCs w:val="22"/>
              </w:rPr>
              <w:t xml:space="preserve"> Chiapas</w:t>
            </w:r>
            <w:r>
              <w:rPr>
                <w:rStyle w:val="Emphasis"/>
                <w:rFonts w:asciiTheme="minorHAnsi" w:hAnsiTheme="minorHAnsi" w:cstheme="minorHAnsi"/>
                <w:color w:val="000000" w:themeColor="text1"/>
                <w:sz w:val="22"/>
                <w:szCs w:val="22"/>
              </w:rPr>
              <w:t xml:space="preserve"> resisting military advancements</w:t>
            </w:r>
            <w:r w:rsidRPr="00930817">
              <w:rPr>
                <w:rFonts w:asciiTheme="minorHAnsi" w:hAnsiTheme="minorHAnsi" w:cstheme="minorHAnsi"/>
                <w:i/>
                <w:iCs/>
                <w:color w:val="000000" w:themeColor="text1"/>
                <w:sz w:val="22"/>
                <w:szCs w:val="22"/>
              </w:rPr>
              <w:t xml:space="preserve"> (Source: Valtierra,1998).</w:t>
            </w:r>
          </w:p>
          <w:p w14:paraId="5A9DF797" w14:textId="77777777" w:rsidR="004C1D99" w:rsidRDefault="004F4E36" w:rsidP="007A7DAC">
            <w:pPr>
              <w:pStyle w:val="p1"/>
              <w:rPr>
                <w:rFonts w:asciiTheme="minorHAnsi" w:hAnsiTheme="minorHAnsi" w:cstheme="minorHAnsi"/>
                <w:sz w:val="22"/>
                <w:szCs w:val="22"/>
              </w:rPr>
            </w:pPr>
            <w:r w:rsidRPr="004F4E36">
              <w:rPr>
                <w:rFonts w:asciiTheme="minorHAnsi" w:hAnsiTheme="minorHAnsi" w:cstheme="minorHAnsi"/>
                <w:sz w:val="22"/>
                <w:szCs w:val="22"/>
              </w:rPr>
              <w:br/>
              <w:t>The State’s homogenising model of mestizaje has failed, deepening dispossession and disempowerment. Its emphasis on labour market preparation clashes with Indigenous values and worsens inequality.</w:t>
            </w:r>
            <w:r w:rsidR="007A7DAC">
              <w:rPr>
                <w:rFonts w:asciiTheme="minorHAnsi" w:hAnsiTheme="minorHAnsi" w:cstheme="minorHAnsi"/>
                <w:sz w:val="22"/>
                <w:szCs w:val="22"/>
              </w:rPr>
              <w:t xml:space="preserve"> As one participant stated:</w:t>
            </w:r>
          </w:p>
          <w:p w14:paraId="07C23782" w14:textId="213A74C2" w:rsidR="007A7DAC" w:rsidRDefault="007A7DAC" w:rsidP="007A7DAC">
            <w:pPr>
              <w:pStyle w:val="p1"/>
              <w:rPr>
                <w:rFonts w:asciiTheme="minorHAnsi" w:hAnsiTheme="minorHAnsi" w:cstheme="minorHAnsi"/>
                <w:sz w:val="22"/>
                <w:szCs w:val="22"/>
              </w:rPr>
            </w:pPr>
            <w:r>
              <w:rPr>
                <w:rFonts w:asciiTheme="minorHAnsi" w:hAnsiTheme="minorHAnsi" w:cstheme="minorHAnsi"/>
                <w:sz w:val="22"/>
                <w:szCs w:val="22"/>
              </w:rPr>
              <w:t xml:space="preserve"> </w:t>
            </w:r>
          </w:p>
          <w:p w14:paraId="4689FD50" w14:textId="305087E3" w:rsidR="007A7DAC" w:rsidRPr="004C1D99" w:rsidRDefault="007A7DAC" w:rsidP="004C1D99">
            <w:pPr>
              <w:pStyle w:val="p1"/>
              <w:jc w:val="center"/>
              <w:rPr>
                <w:rFonts w:asciiTheme="minorHAnsi" w:hAnsiTheme="minorHAnsi" w:cstheme="minorHAnsi"/>
                <w:i/>
                <w:iCs/>
                <w:sz w:val="22"/>
                <w:szCs w:val="22"/>
              </w:rPr>
            </w:pPr>
            <w:r w:rsidRPr="004C1D99">
              <w:rPr>
                <w:rFonts w:asciiTheme="minorHAnsi" w:hAnsiTheme="minorHAnsi" w:cstheme="minorHAnsi"/>
                <w:i/>
                <w:iCs/>
                <w:sz w:val="22"/>
                <w:szCs w:val="22"/>
              </w:rPr>
              <w:t>“Mainstream education is designed to create employees for capitalism. In contrast, this</w:t>
            </w:r>
          </w:p>
          <w:p w14:paraId="48A5A98D" w14:textId="77777777" w:rsidR="004C1D99" w:rsidRPr="004C1D99" w:rsidRDefault="007A7DAC" w:rsidP="004C1D99">
            <w:pPr>
              <w:pStyle w:val="p1"/>
              <w:jc w:val="center"/>
              <w:rPr>
                <w:rFonts w:asciiTheme="minorHAnsi" w:hAnsiTheme="minorHAnsi" w:cstheme="minorHAnsi"/>
                <w:i/>
                <w:iCs/>
                <w:sz w:val="22"/>
                <w:szCs w:val="22"/>
              </w:rPr>
            </w:pPr>
            <w:r w:rsidRPr="004C1D99">
              <w:rPr>
                <w:rFonts w:asciiTheme="minorHAnsi" w:hAnsiTheme="minorHAnsi" w:cstheme="minorHAnsi"/>
                <w:i/>
                <w:iCs/>
                <w:sz w:val="22"/>
                <w:szCs w:val="22"/>
              </w:rPr>
              <w:t>system teaches children to be aware that education is meant to serve life, not just to secure a job.”</w:t>
            </w:r>
          </w:p>
          <w:p w14:paraId="733D77ED" w14:textId="77777777" w:rsidR="004C1D99" w:rsidRDefault="004C1D99" w:rsidP="007A7DAC">
            <w:pPr>
              <w:pStyle w:val="p1"/>
              <w:rPr>
                <w:rFonts w:asciiTheme="minorHAnsi" w:hAnsiTheme="minorHAnsi" w:cstheme="minorHAnsi"/>
                <w:sz w:val="22"/>
                <w:szCs w:val="22"/>
              </w:rPr>
            </w:pPr>
          </w:p>
          <w:p w14:paraId="1463D750" w14:textId="77777777" w:rsidR="00F3616E" w:rsidRDefault="004F4E36" w:rsidP="00657B11">
            <w:pPr>
              <w:pStyle w:val="p1"/>
              <w:rPr>
                <w:rFonts w:asciiTheme="minorHAnsi" w:hAnsiTheme="minorHAnsi" w:cstheme="minorHAnsi"/>
                <w:sz w:val="22"/>
                <w:szCs w:val="22"/>
              </w:rPr>
            </w:pPr>
            <w:r w:rsidRPr="004F4E36">
              <w:rPr>
                <w:rFonts w:asciiTheme="minorHAnsi" w:hAnsiTheme="minorHAnsi" w:cstheme="minorHAnsi"/>
                <w:sz w:val="22"/>
                <w:szCs w:val="22"/>
              </w:rPr>
              <w:t>Autonomous education, by contrast, succeeds because it is for the people, by the people. It fosters agency, critical consciousness, and ecological stewardship, while repurposing outside tools in culturally grounded ways. Its success is rooted in refusing fragmentation and affirming life as interconnected.</w:t>
            </w:r>
            <w:r w:rsidR="007A7DAC">
              <w:rPr>
                <w:rFonts w:asciiTheme="minorHAnsi" w:hAnsiTheme="minorHAnsi" w:cstheme="minorHAnsi"/>
                <w:sz w:val="22"/>
                <w:szCs w:val="22"/>
              </w:rPr>
              <w:t xml:space="preserve"> </w:t>
            </w:r>
          </w:p>
          <w:p w14:paraId="232E91ED" w14:textId="5547D01C" w:rsidR="004C1D99" w:rsidRDefault="004F4E36" w:rsidP="00657B11">
            <w:pPr>
              <w:pStyle w:val="p1"/>
              <w:rPr>
                <w:rFonts w:asciiTheme="minorHAnsi" w:hAnsiTheme="minorHAnsi" w:cstheme="minorHAnsi"/>
                <w:sz w:val="22"/>
                <w:szCs w:val="22"/>
              </w:rPr>
            </w:pPr>
            <w:r w:rsidRPr="004F4E36">
              <w:rPr>
                <w:rFonts w:asciiTheme="minorHAnsi" w:hAnsiTheme="minorHAnsi" w:cstheme="minorHAnsi"/>
                <w:sz w:val="22"/>
                <w:szCs w:val="22"/>
              </w:rPr>
              <w:lastRenderedPageBreak/>
              <w:t>For children, hearing their mother tongue in school transforms classrooms into affirming spaces of growth rather than ex</w:t>
            </w:r>
            <w:r w:rsidRPr="00657B11">
              <w:rPr>
                <w:rFonts w:asciiTheme="minorHAnsi" w:hAnsiTheme="minorHAnsi" w:cstheme="minorHAnsi"/>
                <w:sz w:val="22"/>
                <w:szCs w:val="22"/>
              </w:rPr>
              <w:t>clusion</w:t>
            </w:r>
            <w:r w:rsidR="00657B11" w:rsidRPr="00657B11">
              <w:rPr>
                <w:rStyle w:val="apple-converted-space"/>
                <w:rFonts w:asciiTheme="minorHAnsi" w:hAnsiTheme="minorHAnsi" w:cstheme="minorHAnsi"/>
                <w:sz w:val="22"/>
                <w:szCs w:val="22"/>
              </w:rPr>
              <w:t> </w:t>
            </w:r>
            <w:r w:rsidR="00657B11" w:rsidRPr="00657B11">
              <w:rPr>
                <w:rFonts w:asciiTheme="minorHAnsi" w:hAnsiTheme="minorHAnsi" w:cstheme="minorHAnsi"/>
                <w:sz w:val="22"/>
                <w:szCs w:val="22"/>
              </w:rPr>
              <w:t>(Henze &amp; Davis, 1999)</w:t>
            </w:r>
            <w:r w:rsidRPr="00657B11">
              <w:rPr>
                <w:rFonts w:asciiTheme="minorHAnsi" w:hAnsiTheme="minorHAnsi" w:cstheme="minorHAnsi"/>
                <w:sz w:val="22"/>
                <w:szCs w:val="22"/>
              </w:rPr>
              <w:t>.</w:t>
            </w:r>
            <w:r w:rsidRPr="004F4E36">
              <w:rPr>
                <w:rFonts w:asciiTheme="minorHAnsi" w:hAnsiTheme="minorHAnsi" w:cstheme="minorHAnsi"/>
                <w:sz w:val="22"/>
                <w:szCs w:val="22"/>
              </w:rPr>
              <w:t xml:space="preserve"> For communities, autonomy and epistemic sovereignty restore</w:t>
            </w:r>
            <w:r w:rsidR="00D21E9F">
              <w:rPr>
                <w:rFonts w:asciiTheme="minorHAnsi" w:hAnsiTheme="minorHAnsi" w:cstheme="minorHAnsi"/>
                <w:szCs w:val="22"/>
              </w:rPr>
              <w:t>s</w:t>
            </w:r>
            <w:r w:rsidRPr="004F4E36">
              <w:rPr>
                <w:rFonts w:asciiTheme="minorHAnsi" w:hAnsiTheme="minorHAnsi" w:cstheme="minorHAnsi"/>
                <w:sz w:val="22"/>
                <w:szCs w:val="22"/>
              </w:rPr>
              <w:t xml:space="preserve"> dignity and strengthen</w:t>
            </w:r>
            <w:r w:rsidR="00D21E9F">
              <w:rPr>
                <w:rFonts w:asciiTheme="minorHAnsi" w:hAnsiTheme="minorHAnsi" w:cstheme="minorHAnsi"/>
                <w:szCs w:val="22"/>
              </w:rPr>
              <w:t>s</w:t>
            </w:r>
            <w:r w:rsidRPr="004F4E36">
              <w:rPr>
                <w:rFonts w:asciiTheme="minorHAnsi" w:hAnsiTheme="minorHAnsi" w:cstheme="minorHAnsi"/>
                <w:sz w:val="22"/>
                <w:szCs w:val="22"/>
              </w:rPr>
              <w:t xml:space="preserve"> social cohesion. At the </w:t>
            </w:r>
            <w:r w:rsidRPr="00657B11">
              <w:rPr>
                <w:rFonts w:asciiTheme="minorHAnsi" w:hAnsiTheme="minorHAnsi" w:cstheme="minorHAnsi"/>
                <w:sz w:val="22"/>
                <w:szCs w:val="22"/>
              </w:rPr>
              <w:t xml:space="preserve">broader scale, </w:t>
            </w:r>
            <w:r w:rsidR="00D21E9F" w:rsidRPr="00657B11">
              <w:rPr>
                <w:rFonts w:asciiTheme="minorHAnsi" w:hAnsiTheme="minorHAnsi" w:cstheme="minorHAnsi"/>
                <w:sz w:val="22"/>
                <w:szCs w:val="22"/>
              </w:rPr>
              <w:t>the Indigenous autonomous schools of</w:t>
            </w:r>
            <w:r w:rsidR="00D21E9F">
              <w:rPr>
                <w:rFonts w:asciiTheme="minorHAnsi" w:hAnsiTheme="minorHAnsi" w:cstheme="minorHAnsi"/>
                <w:szCs w:val="22"/>
              </w:rPr>
              <w:t xml:space="preserve"> </w:t>
            </w:r>
            <w:r w:rsidRPr="004F4E36">
              <w:rPr>
                <w:rFonts w:asciiTheme="minorHAnsi" w:hAnsiTheme="minorHAnsi" w:cstheme="minorHAnsi"/>
                <w:sz w:val="22"/>
                <w:szCs w:val="22"/>
              </w:rPr>
              <w:t xml:space="preserve">Chiapas challenges mainstream development paradigms by showing that alternatives are not only possible but thriving. It reframes education as collective empowerment, feeding into global conversations on post-development, decolonisation, and </w:t>
            </w:r>
            <w:r w:rsidRPr="00657B11">
              <w:rPr>
                <w:rFonts w:asciiTheme="minorHAnsi" w:hAnsiTheme="minorHAnsi" w:cstheme="minorHAnsi"/>
                <w:sz w:val="22"/>
                <w:szCs w:val="22"/>
              </w:rPr>
              <w:t>rethinking well-being.</w:t>
            </w:r>
            <w:r w:rsidR="002C62AA" w:rsidRPr="00657B11">
              <w:rPr>
                <w:rFonts w:asciiTheme="minorHAnsi" w:hAnsiTheme="minorHAnsi" w:cstheme="minorHAnsi"/>
                <w:sz w:val="22"/>
                <w:szCs w:val="22"/>
              </w:rPr>
              <w:t xml:space="preserve"> This was noted by a participant who stated</w:t>
            </w:r>
            <w:r w:rsidR="004C1D99">
              <w:rPr>
                <w:rFonts w:asciiTheme="minorHAnsi" w:hAnsiTheme="minorHAnsi" w:cstheme="minorHAnsi"/>
                <w:sz w:val="22"/>
                <w:szCs w:val="22"/>
              </w:rPr>
              <w:t xml:space="preserve">: </w:t>
            </w:r>
          </w:p>
          <w:p w14:paraId="722F52A2" w14:textId="77777777" w:rsidR="000035A6" w:rsidRDefault="000035A6" w:rsidP="00657B11">
            <w:pPr>
              <w:pStyle w:val="p1"/>
              <w:rPr>
                <w:rFonts w:asciiTheme="minorHAnsi" w:hAnsiTheme="minorHAnsi" w:cstheme="minorHAnsi"/>
                <w:sz w:val="22"/>
                <w:szCs w:val="22"/>
              </w:rPr>
            </w:pPr>
          </w:p>
          <w:p w14:paraId="1CCD1762" w14:textId="54CC5D4C" w:rsidR="004F4E36" w:rsidRPr="004C1D99" w:rsidRDefault="002C62AA" w:rsidP="004C1D99">
            <w:pPr>
              <w:pStyle w:val="p1"/>
              <w:jc w:val="center"/>
              <w:rPr>
                <w:i/>
                <w:iCs/>
                <w:sz w:val="22"/>
                <w:szCs w:val="22"/>
              </w:rPr>
            </w:pPr>
            <w:r w:rsidRPr="004C1D99">
              <w:rPr>
                <w:rFonts w:asciiTheme="minorHAnsi" w:hAnsiTheme="minorHAnsi" w:cstheme="minorHAnsi"/>
                <w:i/>
                <w:iCs/>
                <w:sz w:val="22"/>
                <w:szCs w:val="22"/>
              </w:rPr>
              <w:t>“The curriculum focused on strengthening local culture and reviving the community’s knowledge systems. A key part was valuing the students' native language, making sure</w:t>
            </w:r>
            <w:r w:rsidR="004C1D99" w:rsidRPr="004C1D99">
              <w:rPr>
                <w:rFonts w:asciiTheme="minorHAnsi" w:hAnsiTheme="minorHAnsi" w:cstheme="minorHAnsi"/>
                <w:i/>
                <w:iCs/>
                <w:sz w:val="22"/>
                <w:szCs w:val="22"/>
              </w:rPr>
              <w:t xml:space="preserve"> </w:t>
            </w:r>
            <w:r w:rsidRPr="004C1D99">
              <w:rPr>
                <w:rFonts w:asciiTheme="minorHAnsi" w:hAnsiTheme="minorHAnsi" w:cstheme="minorHAnsi"/>
                <w:i/>
                <w:iCs/>
                <w:sz w:val="22"/>
                <w:szCs w:val="22"/>
              </w:rPr>
              <w:t>students felt welcomed and understood in the way knowledge was conveyed.”</w:t>
            </w:r>
          </w:p>
          <w:p w14:paraId="37F934BE" w14:textId="77777777" w:rsidR="006344A5" w:rsidRPr="004F4E36" w:rsidRDefault="006344A5" w:rsidP="002C62AA">
            <w:pPr>
              <w:pStyle w:val="BulletPoints"/>
              <w:numPr>
                <w:ilvl w:val="0"/>
                <w:numId w:val="0"/>
              </w:numPr>
              <w:spacing w:after="0"/>
              <w:jc w:val="left"/>
              <w:rPr>
                <w:rFonts w:asciiTheme="minorHAnsi" w:hAnsiTheme="minorHAnsi" w:cstheme="minorHAnsi"/>
                <w:sz w:val="22"/>
                <w:szCs w:val="22"/>
              </w:rPr>
            </w:pPr>
          </w:p>
        </w:tc>
      </w:tr>
      <w:tr w:rsidR="006344A5" w14:paraId="37F934C7" w14:textId="77777777" w:rsidTr="00831C12">
        <w:tc>
          <w:tcPr>
            <w:tcW w:w="5103" w:type="dxa"/>
          </w:tcPr>
          <w:p w14:paraId="2F6EA598" w14:textId="77777777" w:rsidR="006344A5" w:rsidRPr="00A62056" w:rsidRDefault="006344A5" w:rsidP="00CF05B4">
            <w:pPr>
              <w:pStyle w:val="BulletPoints"/>
              <w:numPr>
                <w:ilvl w:val="0"/>
                <w:numId w:val="0"/>
              </w:numPr>
              <w:rPr>
                <w:rFonts w:asciiTheme="minorHAnsi" w:hAnsiTheme="minorHAnsi" w:cstheme="minorHAnsi"/>
                <w:b/>
                <w:color w:val="864EA8" w:themeColor="accent1" w:themeShade="BF"/>
              </w:rPr>
            </w:pPr>
            <w:r w:rsidRPr="00A62056">
              <w:rPr>
                <w:rFonts w:asciiTheme="minorHAnsi" w:hAnsiTheme="minorHAnsi" w:cstheme="minorHAnsi"/>
                <w:b/>
                <w:color w:val="864EA8" w:themeColor="accent1" w:themeShade="BF"/>
              </w:rPr>
              <w:lastRenderedPageBreak/>
              <w:t>Implications</w:t>
            </w:r>
          </w:p>
          <w:p w14:paraId="5900369E" w14:textId="77777777" w:rsidR="000035A6" w:rsidRPr="00F3616E" w:rsidRDefault="000035A6" w:rsidP="000035A6">
            <w:pPr>
              <w:pStyle w:val="NormalWeb"/>
              <w:rPr>
                <w:rFonts w:asciiTheme="minorHAnsi" w:hAnsiTheme="minorHAnsi" w:cstheme="minorHAnsi"/>
                <w:sz w:val="22"/>
                <w:szCs w:val="22"/>
              </w:rPr>
            </w:pPr>
            <w:r w:rsidRPr="00F3616E">
              <w:rPr>
                <w:rFonts w:asciiTheme="minorHAnsi" w:hAnsiTheme="minorHAnsi" w:cstheme="minorHAnsi"/>
                <w:sz w:val="22"/>
                <w:szCs w:val="22"/>
              </w:rPr>
              <w:t>The findings suggest that development actors must shift their approach from prescribing external education models to building genuine partnerships with Indigenous communities. Well-being in Chiapas does not emerge from isolated schooling initiatives but from education that is embedded within the broader social fabric, reflecting cultural identity, ecological stewardship, and collective ethics.</w:t>
            </w:r>
          </w:p>
          <w:p w14:paraId="783C2ADB" w14:textId="77777777" w:rsidR="000035A6" w:rsidRPr="00F3616E" w:rsidRDefault="000035A6" w:rsidP="00F3616E">
            <w:pPr>
              <w:pStyle w:val="NormalWeb"/>
              <w:rPr>
                <w:rFonts w:asciiTheme="minorHAnsi" w:hAnsiTheme="minorHAnsi" w:cstheme="minorHAnsi"/>
                <w:sz w:val="22"/>
                <w:szCs w:val="22"/>
              </w:rPr>
            </w:pPr>
            <w:r w:rsidRPr="00F3616E">
              <w:rPr>
                <w:rStyle w:val="Strong"/>
                <w:rFonts w:asciiTheme="minorHAnsi" w:hAnsiTheme="minorHAnsi" w:cstheme="minorHAnsi"/>
                <w:sz w:val="22"/>
                <w:szCs w:val="22"/>
              </w:rPr>
              <w:t>Key implications include:</w:t>
            </w:r>
          </w:p>
          <w:p w14:paraId="3744FD22" w14:textId="77777777" w:rsidR="000035A6" w:rsidRPr="00F3616E" w:rsidRDefault="000035A6" w:rsidP="00F3616E">
            <w:pPr>
              <w:pStyle w:val="NormalWeb"/>
              <w:numPr>
                <w:ilvl w:val="0"/>
                <w:numId w:val="24"/>
              </w:numPr>
              <w:rPr>
                <w:rFonts w:asciiTheme="minorHAnsi" w:hAnsiTheme="minorHAnsi" w:cstheme="minorHAnsi"/>
                <w:sz w:val="22"/>
                <w:szCs w:val="22"/>
              </w:rPr>
            </w:pPr>
            <w:r w:rsidRPr="00F3616E">
              <w:rPr>
                <w:rStyle w:val="Strong"/>
                <w:rFonts w:asciiTheme="minorHAnsi" w:hAnsiTheme="minorHAnsi" w:cstheme="minorHAnsi"/>
                <w:sz w:val="22"/>
                <w:szCs w:val="22"/>
              </w:rPr>
              <w:t>Recognise Indigenous knowledge as equal:</w:t>
            </w:r>
            <w:r w:rsidRPr="00F3616E">
              <w:rPr>
                <w:rFonts w:asciiTheme="minorHAnsi" w:hAnsiTheme="minorHAnsi" w:cstheme="minorHAnsi"/>
                <w:sz w:val="22"/>
                <w:szCs w:val="22"/>
              </w:rPr>
              <w:t xml:space="preserve"> Development actors must treat Indigenous knowledge systems as equal to, rather than subordinate to, Western frameworks.</w:t>
            </w:r>
          </w:p>
          <w:p w14:paraId="6CAFD8A4" w14:textId="77777777" w:rsidR="000035A6" w:rsidRPr="00F3616E" w:rsidRDefault="000035A6" w:rsidP="000035A6">
            <w:pPr>
              <w:pStyle w:val="NormalWeb"/>
              <w:numPr>
                <w:ilvl w:val="0"/>
                <w:numId w:val="24"/>
              </w:numPr>
              <w:rPr>
                <w:rFonts w:asciiTheme="minorHAnsi" w:hAnsiTheme="minorHAnsi" w:cstheme="minorHAnsi"/>
                <w:sz w:val="22"/>
                <w:szCs w:val="22"/>
              </w:rPr>
            </w:pPr>
            <w:r w:rsidRPr="00F3616E">
              <w:rPr>
                <w:rStyle w:val="Strong"/>
                <w:rFonts w:asciiTheme="minorHAnsi" w:hAnsiTheme="minorHAnsi" w:cstheme="minorHAnsi"/>
                <w:sz w:val="22"/>
                <w:szCs w:val="22"/>
              </w:rPr>
              <w:t>Strengthen community autonomy:</w:t>
            </w:r>
            <w:r w:rsidRPr="00F3616E">
              <w:rPr>
                <w:rFonts w:asciiTheme="minorHAnsi" w:hAnsiTheme="minorHAnsi" w:cstheme="minorHAnsi"/>
                <w:sz w:val="22"/>
                <w:szCs w:val="22"/>
              </w:rPr>
              <w:t xml:space="preserve"> Support mechanisms should reinforce self-determination instead of undermining it.</w:t>
            </w:r>
          </w:p>
          <w:p w14:paraId="3116FCDF" w14:textId="77777777" w:rsidR="000035A6" w:rsidRPr="00F3616E" w:rsidRDefault="000035A6" w:rsidP="000035A6">
            <w:pPr>
              <w:pStyle w:val="NormalWeb"/>
              <w:numPr>
                <w:ilvl w:val="0"/>
                <w:numId w:val="24"/>
              </w:numPr>
              <w:rPr>
                <w:rFonts w:asciiTheme="minorHAnsi" w:hAnsiTheme="minorHAnsi" w:cstheme="minorHAnsi"/>
                <w:sz w:val="22"/>
                <w:szCs w:val="22"/>
              </w:rPr>
            </w:pPr>
            <w:r w:rsidRPr="00F3616E">
              <w:rPr>
                <w:rStyle w:val="Strong"/>
                <w:rFonts w:asciiTheme="minorHAnsi" w:hAnsiTheme="minorHAnsi" w:cstheme="minorHAnsi"/>
                <w:sz w:val="22"/>
                <w:szCs w:val="22"/>
              </w:rPr>
              <w:t>Protect resilience:</w:t>
            </w:r>
            <w:r w:rsidRPr="00F3616E">
              <w:rPr>
                <w:rFonts w:asciiTheme="minorHAnsi" w:hAnsiTheme="minorHAnsi" w:cstheme="minorHAnsi"/>
                <w:sz w:val="22"/>
                <w:szCs w:val="22"/>
              </w:rPr>
              <w:t xml:space="preserve"> Interventions should shield Indigenous education initiatives from political, paramilitary, and economic pressures that threaten their sustainability.</w:t>
            </w:r>
          </w:p>
          <w:p w14:paraId="59EFC310" w14:textId="77777777" w:rsidR="000035A6" w:rsidRPr="00F3616E" w:rsidRDefault="000035A6" w:rsidP="000035A6">
            <w:pPr>
              <w:pStyle w:val="NormalWeb"/>
              <w:numPr>
                <w:ilvl w:val="0"/>
                <w:numId w:val="24"/>
              </w:numPr>
              <w:rPr>
                <w:rFonts w:asciiTheme="minorHAnsi" w:hAnsiTheme="minorHAnsi" w:cstheme="minorHAnsi"/>
                <w:sz w:val="22"/>
                <w:szCs w:val="22"/>
              </w:rPr>
            </w:pPr>
            <w:r w:rsidRPr="00F3616E">
              <w:rPr>
                <w:rStyle w:val="Strong"/>
                <w:rFonts w:asciiTheme="minorHAnsi" w:hAnsiTheme="minorHAnsi" w:cstheme="minorHAnsi"/>
                <w:sz w:val="22"/>
                <w:szCs w:val="22"/>
              </w:rPr>
              <w:t>Redefine success:</w:t>
            </w:r>
            <w:r w:rsidRPr="00F3616E">
              <w:rPr>
                <w:rFonts w:asciiTheme="minorHAnsi" w:hAnsiTheme="minorHAnsi" w:cstheme="minorHAnsi"/>
                <w:sz w:val="22"/>
                <w:szCs w:val="22"/>
              </w:rPr>
              <w:t xml:space="preserve"> Evaluation must be based on community-defined markers of dignity, sustainability, and cultural continuity—not solely Western metrics like test scores or graduation rates.</w:t>
            </w:r>
          </w:p>
          <w:p w14:paraId="5E1B24A9" w14:textId="77777777" w:rsidR="000035A6" w:rsidRPr="00F3616E" w:rsidRDefault="000035A6" w:rsidP="000035A6">
            <w:pPr>
              <w:pStyle w:val="NormalWeb"/>
              <w:rPr>
                <w:rFonts w:asciiTheme="minorHAnsi" w:hAnsiTheme="minorHAnsi" w:cstheme="minorHAnsi"/>
                <w:sz w:val="22"/>
                <w:szCs w:val="22"/>
              </w:rPr>
            </w:pPr>
            <w:r w:rsidRPr="00F3616E">
              <w:rPr>
                <w:rStyle w:val="Strong"/>
                <w:rFonts w:asciiTheme="minorHAnsi" w:hAnsiTheme="minorHAnsi" w:cstheme="minorHAnsi"/>
                <w:sz w:val="22"/>
                <w:szCs w:val="22"/>
              </w:rPr>
              <w:t>New Zealand’s role:</w:t>
            </w:r>
          </w:p>
          <w:p w14:paraId="525A5E28" w14:textId="77777777" w:rsidR="000035A6" w:rsidRPr="00F3616E" w:rsidRDefault="000035A6" w:rsidP="000035A6">
            <w:pPr>
              <w:pStyle w:val="NormalWeb"/>
              <w:numPr>
                <w:ilvl w:val="0"/>
                <w:numId w:val="25"/>
              </w:numPr>
              <w:rPr>
                <w:rFonts w:asciiTheme="minorHAnsi" w:hAnsiTheme="minorHAnsi" w:cstheme="minorHAnsi"/>
                <w:sz w:val="22"/>
                <w:szCs w:val="22"/>
              </w:rPr>
            </w:pPr>
            <w:r w:rsidRPr="00F3616E">
              <w:rPr>
                <w:rFonts w:asciiTheme="minorHAnsi" w:hAnsiTheme="minorHAnsi" w:cstheme="minorHAnsi"/>
                <w:sz w:val="22"/>
                <w:szCs w:val="22"/>
              </w:rPr>
              <w:t>Direct influence on Chiapas is limited, but Aotearoa can use its diplomatic voice to encourage the Mexican government to end military intimidation against Indigenous communities.</w:t>
            </w:r>
          </w:p>
          <w:p w14:paraId="6FDAFA8C" w14:textId="77777777" w:rsidR="000035A6" w:rsidRPr="00F3616E" w:rsidRDefault="000035A6" w:rsidP="000035A6">
            <w:pPr>
              <w:pStyle w:val="NormalWeb"/>
              <w:numPr>
                <w:ilvl w:val="0"/>
                <w:numId w:val="25"/>
              </w:numPr>
              <w:rPr>
                <w:rFonts w:asciiTheme="minorHAnsi" w:hAnsiTheme="minorHAnsi" w:cstheme="minorHAnsi"/>
                <w:sz w:val="22"/>
                <w:szCs w:val="22"/>
              </w:rPr>
            </w:pPr>
            <w:r w:rsidRPr="00F3616E">
              <w:rPr>
                <w:rFonts w:asciiTheme="minorHAnsi" w:hAnsiTheme="minorHAnsi" w:cstheme="minorHAnsi"/>
                <w:sz w:val="22"/>
                <w:szCs w:val="22"/>
              </w:rPr>
              <w:t xml:space="preserve">The greater value lies in </w:t>
            </w:r>
            <w:r w:rsidRPr="00F3616E">
              <w:rPr>
                <w:rStyle w:val="Strong"/>
                <w:rFonts w:asciiTheme="minorHAnsi" w:hAnsiTheme="minorHAnsi" w:cstheme="minorHAnsi"/>
                <w:sz w:val="22"/>
                <w:szCs w:val="22"/>
              </w:rPr>
              <w:t>learning from Chiapas</w:t>
            </w:r>
            <w:r w:rsidRPr="00F3616E">
              <w:rPr>
                <w:rFonts w:asciiTheme="minorHAnsi" w:hAnsiTheme="minorHAnsi" w:cstheme="minorHAnsi"/>
                <w:sz w:val="22"/>
                <w:szCs w:val="22"/>
              </w:rPr>
              <w:t xml:space="preserve"> and applying lessons domestically and regionally. New Zealand development organisations should respect Indigenous knowledge, honour cultural practices, and centre identity and self-determination in partnerships.</w:t>
            </w:r>
          </w:p>
          <w:p w14:paraId="3ECABAC8" w14:textId="77777777" w:rsidR="000035A6" w:rsidRPr="00F3616E" w:rsidRDefault="000035A6" w:rsidP="000035A6">
            <w:pPr>
              <w:pStyle w:val="NormalWeb"/>
              <w:rPr>
                <w:rFonts w:asciiTheme="minorHAnsi" w:hAnsiTheme="minorHAnsi" w:cstheme="minorHAnsi"/>
                <w:sz w:val="22"/>
                <w:szCs w:val="22"/>
              </w:rPr>
            </w:pPr>
            <w:r w:rsidRPr="00F3616E">
              <w:rPr>
                <w:rStyle w:val="Strong"/>
                <w:rFonts w:asciiTheme="minorHAnsi" w:hAnsiTheme="minorHAnsi" w:cstheme="minorHAnsi"/>
                <w:sz w:val="22"/>
                <w:szCs w:val="22"/>
              </w:rPr>
              <w:t>Regional lessons – the Pacific:</w:t>
            </w:r>
          </w:p>
          <w:p w14:paraId="026C501E" w14:textId="77777777" w:rsidR="000035A6" w:rsidRPr="00F3616E" w:rsidRDefault="000035A6" w:rsidP="000035A6">
            <w:pPr>
              <w:pStyle w:val="NormalWeb"/>
              <w:numPr>
                <w:ilvl w:val="0"/>
                <w:numId w:val="26"/>
              </w:numPr>
              <w:rPr>
                <w:rFonts w:asciiTheme="minorHAnsi" w:hAnsiTheme="minorHAnsi" w:cstheme="minorHAnsi"/>
                <w:sz w:val="22"/>
                <w:szCs w:val="22"/>
              </w:rPr>
            </w:pPr>
            <w:r w:rsidRPr="00F3616E">
              <w:rPr>
                <w:rFonts w:asciiTheme="minorHAnsi" w:hAnsiTheme="minorHAnsi" w:cstheme="minorHAnsi"/>
                <w:sz w:val="22"/>
                <w:szCs w:val="22"/>
              </w:rPr>
              <w:t xml:space="preserve">The Chiapas experience highlights the risks of </w:t>
            </w:r>
            <w:r w:rsidRPr="00F3616E">
              <w:rPr>
                <w:rStyle w:val="Strong"/>
                <w:rFonts w:asciiTheme="minorHAnsi" w:hAnsiTheme="minorHAnsi" w:cstheme="minorHAnsi"/>
                <w:sz w:val="22"/>
                <w:szCs w:val="22"/>
              </w:rPr>
              <w:t>undermining Indigenous cultures</w:t>
            </w:r>
            <w:r w:rsidRPr="00F3616E">
              <w:rPr>
                <w:rFonts w:asciiTheme="minorHAnsi" w:hAnsiTheme="minorHAnsi" w:cstheme="minorHAnsi"/>
                <w:sz w:val="22"/>
                <w:szCs w:val="22"/>
              </w:rPr>
              <w:t xml:space="preserve"> or assuming they will not assert their own agency. Once relationships fracture, repairing them is extremely difficult.</w:t>
            </w:r>
          </w:p>
          <w:p w14:paraId="104A50FD" w14:textId="77777777" w:rsidR="000035A6" w:rsidRPr="00F3616E" w:rsidRDefault="000035A6" w:rsidP="000035A6">
            <w:pPr>
              <w:pStyle w:val="NormalWeb"/>
              <w:numPr>
                <w:ilvl w:val="0"/>
                <w:numId w:val="26"/>
              </w:numPr>
              <w:rPr>
                <w:rFonts w:asciiTheme="minorHAnsi" w:hAnsiTheme="minorHAnsi" w:cstheme="minorHAnsi"/>
                <w:sz w:val="22"/>
                <w:szCs w:val="22"/>
              </w:rPr>
            </w:pPr>
            <w:r w:rsidRPr="00F3616E">
              <w:rPr>
                <w:rFonts w:asciiTheme="minorHAnsi" w:hAnsiTheme="minorHAnsi" w:cstheme="minorHAnsi"/>
                <w:sz w:val="22"/>
                <w:szCs w:val="22"/>
              </w:rPr>
              <w:t xml:space="preserve">In the Pacific, where China’s influence is rising, New Zealand must engage with </w:t>
            </w:r>
            <w:r w:rsidRPr="00F3616E">
              <w:rPr>
                <w:rStyle w:val="Strong"/>
                <w:rFonts w:asciiTheme="minorHAnsi" w:hAnsiTheme="minorHAnsi" w:cstheme="minorHAnsi"/>
                <w:sz w:val="22"/>
                <w:szCs w:val="22"/>
              </w:rPr>
              <w:t>humility, respect, and long-term commitment</w:t>
            </w:r>
            <w:r w:rsidRPr="00F3616E">
              <w:rPr>
                <w:rFonts w:asciiTheme="minorHAnsi" w:hAnsiTheme="minorHAnsi" w:cstheme="minorHAnsi"/>
                <w:sz w:val="22"/>
                <w:szCs w:val="22"/>
              </w:rPr>
              <w:t>, avoiding coercion or unilateral action.</w:t>
            </w:r>
          </w:p>
          <w:p w14:paraId="0E11B556" w14:textId="77777777" w:rsidR="000035A6" w:rsidRPr="00F3616E" w:rsidRDefault="000035A6" w:rsidP="000035A6">
            <w:pPr>
              <w:pStyle w:val="NormalWeb"/>
              <w:numPr>
                <w:ilvl w:val="0"/>
                <w:numId w:val="26"/>
              </w:numPr>
              <w:rPr>
                <w:rFonts w:asciiTheme="minorHAnsi" w:hAnsiTheme="minorHAnsi" w:cstheme="minorHAnsi"/>
                <w:sz w:val="22"/>
                <w:szCs w:val="22"/>
              </w:rPr>
            </w:pPr>
            <w:r w:rsidRPr="00F3616E">
              <w:rPr>
                <w:rFonts w:asciiTheme="minorHAnsi" w:hAnsiTheme="minorHAnsi" w:cstheme="minorHAnsi"/>
                <w:sz w:val="22"/>
                <w:szCs w:val="22"/>
              </w:rPr>
              <w:t>Historical arrogance in negotiations with Pacific communities has left scars; repairing and protecting these relationships is essential for regional stability.</w:t>
            </w:r>
          </w:p>
          <w:p w14:paraId="586649EE" w14:textId="77777777" w:rsidR="000035A6" w:rsidRPr="00F3616E" w:rsidRDefault="000035A6" w:rsidP="000035A6">
            <w:pPr>
              <w:pStyle w:val="NormalWeb"/>
              <w:rPr>
                <w:rFonts w:asciiTheme="minorHAnsi" w:hAnsiTheme="minorHAnsi" w:cstheme="minorHAnsi"/>
                <w:sz w:val="22"/>
                <w:szCs w:val="22"/>
              </w:rPr>
            </w:pPr>
            <w:r w:rsidRPr="00F3616E">
              <w:rPr>
                <w:rStyle w:val="Strong"/>
                <w:rFonts w:asciiTheme="minorHAnsi" w:hAnsiTheme="minorHAnsi" w:cstheme="minorHAnsi"/>
                <w:sz w:val="22"/>
                <w:szCs w:val="22"/>
              </w:rPr>
              <w:t>At home – Aotearoa:</w:t>
            </w:r>
          </w:p>
          <w:p w14:paraId="672F174F" w14:textId="77777777" w:rsidR="000035A6" w:rsidRPr="00F3616E" w:rsidRDefault="000035A6" w:rsidP="000035A6">
            <w:pPr>
              <w:pStyle w:val="NormalWeb"/>
              <w:numPr>
                <w:ilvl w:val="0"/>
                <w:numId w:val="27"/>
              </w:numPr>
              <w:rPr>
                <w:rFonts w:asciiTheme="minorHAnsi" w:hAnsiTheme="minorHAnsi" w:cstheme="minorHAnsi"/>
                <w:sz w:val="22"/>
                <w:szCs w:val="22"/>
              </w:rPr>
            </w:pPr>
            <w:r w:rsidRPr="00F3616E">
              <w:rPr>
                <w:rFonts w:asciiTheme="minorHAnsi" w:hAnsiTheme="minorHAnsi" w:cstheme="minorHAnsi"/>
                <w:sz w:val="22"/>
                <w:szCs w:val="22"/>
              </w:rPr>
              <w:t xml:space="preserve">The current push for a “unified culture” and sidelining of </w:t>
            </w:r>
            <w:proofErr w:type="spellStart"/>
            <w:r w:rsidRPr="00F3616E">
              <w:rPr>
                <w:rFonts w:asciiTheme="minorHAnsi" w:hAnsiTheme="minorHAnsi" w:cstheme="minorHAnsi"/>
                <w:sz w:val="22"/>
                <w:szCs w:val="22"/>
              </w:rPr>
              <w:t>te</w:t>
            </w:r>
            <w:proofErr w:type="spellEnd"/>
            <w:r w:rsidRPr="00F3616E">
              <w:rPr>
                <w:rFonts w:asciiTheme="minorHAnsi" w:hAnsiTheme="minorHAnsi" w:cstheme="minorHAnsi"/>
                <w:sz w:val="22"/>
                <w:szCs w:val="22"/>
              </w:rPr>
              <w:t xml:space="preserve"> </w:t>
            </w:r>
            <w:proofErr w:type="spellStart"/>
            <w:r w:rsidRPr="00F3616E">
              <w:rPr>
                <w:rFonts w:asciiTheme="minorHAnsi" w:hAnsiTheme="minorHAnsi" w:cstheme="minorHAnsi"/>
                <w:sz w:val="22"/>
                <w:szCs w:val="22"/>
              </w:rPr>
              <w:t>reo</w:t>
            </w:r>
            <w:proofErr w:type="spellEnd"/>
            <w:r w:rsidRPr="00F3616E">
              <w:rPr>
                <w:rFonts w:asciiTheme="minorHAnsi" w:hAnsiTheme="minorHAnsi" w:cstheme="minorHAnsi"/>
                <w:sz w:val="22"/>
                <w:szCs w:val="22"/>
              </w:rPr>
              <w:t xml:space="preserve"> Māori risks repeating mistakes made by the Mexican State toward its Indigenous peoples.</w:t>
            </w:r>
          </w:p>
          <w:p w14:paraId="149E2877" w14:textId="77777777" w:rsidR="000035A6" w:rsidRPr="00F3616E" w:rsidRDefault="000035A6" w:rsidP="000035A6">
            <w:pPr>
              <w:pStyle w:val="NormalWeb"/>
              <w:numPr>
                <w:ilvl w:val="0"/>
                <w:numId w:val="27"/>
              </w:numPr>
              <w:rPr>
                <w:rFonts w:asciiTheme="minorHAnsi" w:hAnsiTheme="minorHAnsi" w:cstheme="minorHAnsi"/>
                <w:sz w:val="22"/>
                <w:szCs w:val="22"/>
              </w:rPr>
            </w:pPr>
            <w:r w:rsidRPr="00F3616E">
              <w:rPr>
                <w:rFonts w:asciiTheme="minorHAnsi" w:hAnsiTheme="minorHAnsi" w:cstheme="minorHAnsi"/>
                <w:sz w:val="22"/>
                <w:szCs w:val="22"/>
              </w:rPr>
              <w:t xml:space="preserve">Actions such as the removal of </w:t>
            </w:r>
            <w:proofErr w:type="spellStart"/>
            <w:r w:rsidRPr="00F3616E">
              <w:rPr>
                <w:rFonts w:asciiTheme="minorHAnsi" w:hAnsiTheme="minorHAnsi" w:cstheme="minorHAnsi"/>
                <w:sz w:val="22"/>
                <w:szCs w:val="22"/>
              </w:rPr>
              <w:t>te</w:t>
            </w:r>
            <w:proofErr w:type="spellEnd"/>
            <w:r w:rsidRPr="00F3616E">
              <w:rPr>
                <w:rFonts w:asciiTheme="minorHAnsi" w:hAnsiTheme="minorHAnsi" w:cstheme="minorHAnsi"/>
                <w:sz w:val="22"/>
                <w:szCs w:val="22"/>
              </w:rPr>
              <w:t xml:space="preserve"> </w:t>
            </w:r>
            <w:proofErr w:type="spellStart"/>
            <w:r w:rsidRPr="00F3616E">
              <w:rPr>
                <w:rFonts w:asciiTheme="minorHAnsi" w:hAnsiTheme="minorHAnsi" w:cstheme="minorHAnsi"/>
                <w:sz w:val="22"/>
                <w:szCs w:val="22"/>
              </w:rPr>
              <w:t>reo</w:t>
            </w:r>
            <w:proofErr w:type="spellEnd"/>
            <w:r w:rsidRPr="00F3616E">
              <w:rPr>
                <w:rFonts w:asciiTheme="minorHAnsi" w:hAnsiTheme="minorHAnsi" w:cstheme="minorHAnsi"/>
                <w:sz w:val="22"/>
                <w:szCs w:val="22"/>
              </w:rPr>
              <w:t xml:space="preserve"> from schoolbooks may be perceived by Māori as cultural suppression, accelerating mistrust between Māori and the State.</w:t>
            </w:r>
          </w:p>
          <w:p w14:paraId="12830CE3" w14:textId="77777777" w:rsidR="000035A6" w:rsidRPr="00F3616E" w:rsidRDefault="000035A6" w:rsidP="000035A6">
            <w:pPr>
              <w:pStyle w:val="NormalWeb"/>
              <w:numPr>
                <w:ilvl w:val="0"/>
                <w:numId w:val="27"/>
              </w:numPr>
              <w:rPr>
                <w:rFonts w:asciiTheme="minorHAnsi" w:hAnsiTheme="minorHAnsi" w:cstheme="minorHAnsi"/>
                <w:sz w:val="22"/>
                <w:szCs w:val="22"/>
              </w:rPr>
            </w:pPr>
            <w:r w:rsidRPr="00F3616E">
              <w:rPr>
                <w:rFonts w:asciiTheme="minorHAnsi" w:hAnsiTheme="minorHAnsi" w:cstheme="minorHAnsi"/>
                <w:sz w:val="22"/>
                <w:szCs w:val="22"/>
              </w:rPr>
              <w:t xml:space="preserve">A more constructive approach would be a </w:t>
            </w:r>
            <w:proofErr w:type="spellStart"/>
            <w:r w:rsidRPr="00F3616E">
              <w:rPr>
                <w:rStyle w:val="Strong"/>
                <w:rFonts w:asciiTheme="minorHAnsi" w:hAnsiTheme="minorHAnsi" w:cstheme="minorHAnsi"/>
                <w:sz w:val="22"/>
                <w:szCs w:val="22"/>
              </w:rPr>
              <w:t>pluraliversal</w:t>
            </w:r>
            <w:proofErr w:type="spellEnd"/>
            <w:r w:rsidRPr="00F3616E">
              <w:rPr>
                <w:rStyle w:val="Strong"/>
                <w:rFonts w:asciiTheme="minorHAnsi" w:hAnsiTheme="minorHAnsi" w:cstheme="minorHAnsi"/>
                <w:sz w:val="22"/>
                <w:szCs w:val="22"/>
              </w:rPr>
              <w:t xml:space="preserve"> spirit</w:t>
            </w:r>
            <w:r w:rsidRPr="00F3616E">
              <w:rPr>
                <w:rFonts w:asciiTheme="minorHAnsi" w:hAnsiTheme="minorHAnsi" w:cstheme="minorHAnsi"/>
                <w:sz w:val="22"/>
                <w:szCs w:val="22"/>
              </w:rPr>
              <w:t xml:space="preserve"> that recognises and respects Māori cultural agency and sovereignty.</w:t>
            </w:r>
          </w:p>
          <w:p w14:paraId="48922805" w14:textId="77777777" w:rsidR="000035A6" w:rsidRPr="00F3616E" w:rsidRDefault="000035A6" w:rsidP="000035A6">
            <w:pPr>
              <w:pStyle w:val="NormalWeb"/>
              <w:rPr>
                <w:rFonts w:asciiTheme="minorHAnsi" w:hAnsiTheme="minorHAnsi" w:cstheme="minorHAnsi"/>
                <w:sz w:val="22"/>
                <w:szCs w:val="22"/>
              </w:rPr>
            </w:pPr>
            <w:r w:rsidRPr="00F3616E">
              <w:rPr>
                <w:rStyle w:val="Strong"/>
                <w:rFonts w:asciiTheme="minorHAnsi" w:hAnsiTheme="minorHAnsi" w:cstheme="minorHAnsi"/>
                <w:sz w:val="22"/>
                <w:szCs w:val="22"/>
              </w:rPr>
              <w:t>Consequences of action vs inaction:</w:t>
            </w:r>
          </w:p>
          <w:p w14:paraId="3D3268AE" w14:textId="5F40D3CF" w:rsidR="00F3616E" w:rsidRPr="00F3616E" w:rsidRDefault="000035A6" w:rsidP="00F3616E">
            <w:pPr>
              <w:pStyle w:val="NormalWeb"/>
              <w:numPr>
                <w:ilvl w:val="0"/>
                <w:numId w:val="28"/>
              </w:numPr>
              <w:rPr>
                <w:rFonts w:asciiTheme="minorHAnsi" w:hAnsiTheme="minorHAnsi" w:cstheme="minorHAnsi"/>
                <w:sz w:val="22"/>
                <w:szCs w:val="22"/>
              </w:rPr>
            </w:pPr>
            <w:r w:rsidRPr="00F3616E">
              <w:rPr>
                <w:rStyle w:val="Strong"/>
                <w:rFonts w:asciiTheme="minorHAnsi" w:hAnsiTheme="minorHAnsi" w:cstheme="minorHAnsi"/>
                <w:sz w:val="22"/>
                <w:szCs w:val="22"/>
              </w:rPr>
              <w:t>Action:</w:t>
            </w:r>
            <w:r w:rsidRPr="00F3616E">
              <w:rPr>
                <w:rFonts w:asciiTheme="minorHAnsi" w:hAnsiTheme="minorHAnsi" w:cstheme="minorHAnsi"/>
                <w:sz w:val="22"/>
                <w:szCs w:val="22"/>
              </w:rPr>
              <w:t xml:space="preserve"> Approaches rooted in humility and respect can make education a site of reconciliation, strengthen Māori–State relations, and support Pacific partnerships that affirm Indigenous identity.</w:t>
            </w:r>
          </w:p>
          <w:p w14:paraId="30C4FCCC" w14:textId="77777777" w:rsidR="000035A6" w:rsidRPr="00F3616E" w:rsidRDefault="000035A6" w:rsidP="000035A6">
            <w:pPr>
              <w:pStyle w:val="NormalWeb"/>
              <w:numPr>
                <w:ilvl w:val="0"/>
                <w:numId w:val="28"/>
              </w:numPr>
              <w:rPr>
                <w:rFonts w:asciiTheme="minorHAnsi" w:hAnsiTheme="minorHAnsi" w:cstheme="minorHAnsi"/>
                <w:sz w:val="22"/>
                <w:szCs w:val="22"/>
              </w:rPr>
            </w:pPr>
            <w:r w:rsidRPr="00F3616E">
              <w:rPr>
                <w:rStyle w:val="Strong"/>
                <w:rFonts w:asciiTheme="minorHAnsi" w:hAnsiTheme="minorHAnsi" w:cstheme="minorHAnsi"/>
                <w:sz w:val="22"/>
                <w:szCs w:val="22"/>
              </w:rPr>
              <w:t>Inaction:</w:t>
            </w:r>
            <w:r w:rsidRPr="00F3616E">
              <w:rPr>
                <w:rFonts w:asciiTheme="minorHAnsi" w:hAnsiTheme="minorHAnsi" w:cstheme="minorHAnsi"/>
                <w:sz w:val="22"/>
                <w:szCs w:val="22"/>
              </w:rPr>
              <w:t xml:space="preserve"> Assimilationist policies or disregard for Indigenous agency risk deepening </w:t>
            </w:r>
            <w:r w:rsidRPr="00F3616E">
              <w:rPr>
                <w:rFonts w:asciiTheme="minorHAnsi" w:hAnsiTheme="minorHAnsi" w:cstheme="minorHAnsi"/>
                <w:sz w:val="22"/>
                <w:szCs w:val="22"/>
              </w:rPr>
              <w:lastRenderedPageBreak/>
              <w:t>mistrust, marginalising Indigenous voices, and fracturing domestic and regional ties. As Chiapas shows, once educational and cultural relationships reach breaking point, repair is exceedingly difficult.</w:t>
            </w:r>
          </w:p>
          <w:p w14:paraId="247C7F6F" w14:textId="77777777" w:rsidR="00F3616E" w:rsidRDefault="000035A6" w:rsidP="00F3616E">
            <w:pPr>
              <w:pStyle w:val="NormalWeb"/>
              <w:jc w:val="center"/>
              <w:rPr>
                <w:rStyle w:val="Strong"/>
                <w:rFonts w:asciiTheme="minorHAnsi" w:hAnsiTheme="minorHAnsi" w:cstheme="minorHAnsi"/>
                <w:i/>
                <w:iCs/>
                <w:sz w:val="22"/>
                <w:szCs w:val="22"/>
              </w:rPr>
            </w:pPr>
            <w:r w:rsidRPr="00F3616E">
              <w:rPr>
                <w:rStyle w:val="Strong"/>
                <w:rFonts w:asciiTheme="minorHAnsi" w:hAnsiTheme="minorHAnsi" w:cstheme="minorHAnsi"/>
                <w:i/>
                <w:iCs/>
                <w:sz w:val="22"/>
                <w:szCs w:val="22"/>
              </w:rPr>
              <w:t>“Any education system engages in violence when it takes language away from Indigenous youth. For the Indigenous peoples of Chiapas, such a loss is not only a loss of identity but also an egregious violation, one that can inflict profound harm on the youth themselves, their communities, and their broader movements if they are denied the right to speak their Indigenous language.” — Dr Levi Gahman</w:t>
            </w:r>
          </w:p>
          <w:p w14:paraId="37F934C6" w14:textId="21E56BC6" w:rsidR="00F3616E" w:rsidRPr="00F3616E" w:rsidRDefault="00F3616E" w:rsidP="00F3616E">
            <w:pPr>
              <w:pStyle w:val="NormalWeb"/>
              <w:jc w:val="both"/>
              <w:rPr>
                <w:rFonts w:asciiTheme="minorHAnsi" w:hAnsiTheme="minorHAnsi" w:cstheme="minorHAnsi"/>
                <w:b/>
                <w:bCs/>
                <w:i/>
                <w:iCs/>
                <w:sz w:val="22"/>
                <w:szCs w:val="22"/>
              </w:rPr>
            </w:pPr>
          </w:p>
        </w:tc>
      </w:tr>
      <w:tr w:rsidR="006344A5" w14:paraId="37F934D1" w14:textId="77777777" w:rsidTr="00831C12">
        <w:tc>
          <w:tcPr>
            <w:tcW w:w="5103" w:type="dxa"/>
          </w:tcPr>
          <w:p w14:paraId="37F934CE" w14:textId="7B79016A" w:rsidR="006344A5" w:rsidRDefault="006344A5" w:rsidP="002E35B2">
            <w:pPr>
              <w:pStyle w:val="BulletPoints"/>
              <w:numPr>
                <w:ilvl w:val="0"/>
                <w:numId w:val="0"/>
              </w:numPr>
              <w:jc w:val="left"/>
              <w:rPr>
                <w:rFonts w:asciiTheme="minorHAnsi" w:hAnsiTheme="minorHAnsi" w:cstheme="minorHAnsi"/>
                <w:b/>
                <w:color w:val="864EA8" w:themeColor="accent1" w:themeShade="BF"/>
              </w:rPr>
            </w:pPr>
            <w:r w:rsidRPr="00A62056">
              <w:rPr>
                <w:rFonts w:asciiTheme="minorHAnsi" w:hAnsiTheme="minorHAnsi" w:cstheme="minorHAnsi"/>
                <w:b/>
                <w:color w:val="864EA8" w:themeColor="accent1" w:themeShade="BF"/>
              </w:rPr>
              <w:lastRenderedPageBreak/>
              <w:t>Limitations and further research</w:t>
            </w:r>
          </w:p>
          <w:p w14:paraId="57A39185" w14:textId="756260C7" w:rsidR="002E35B2" w:rsidRPr="002E35B2" w:rsidRDefault="002E35B2" w:rsidP="002E35B2">
            <w:pPr>
              <w:pStyle w:val="NormalWeb"/>
              <w:rPr>
                <w:rFonts w:asciiTheme="minorHAnsi" w:hAnsiTheme="minorHAnsi" w:cstheme="minorHAnsi"/>
                <w:sz w:val="22"/>
                <w:szCs w:val="22"/>
              </w:rPr>
            </w:pPr>
            <w:r w:rsidRPr="002E35B2">
              <w:rPr>
                <w:rFonts w:asciiTheme="minorHAnsi" w:hAnsiTheme="minorHAnsi" w:cstheme="minorHAnsi"/>
                <w:sz w:val="22"/>
                <w:szCs w:val="22"/>
              </w:rPr>
              <w:t xml:space="preserve">This research has some limitations, most notably that it has been conducted from the perspective of an outsider rather than from within </w:t>
            </w:r>
            <w:r w:rsidR="007902EF">
              <w:rPr>
                <w:rFonts w:asciiTheme="minorHAnsi" w:hAnsiTheme="minorHAnsi" w:cstheme="minorHAnsi"/>
                <w:sz w:val="22"/>
                <w:szCs w:val="22"/>
              </w:rPr>
              <w:t xml:space="preserve">the </w:t>
            </w:r>
            <w:r w:rsidRPr="002E35B2">
              <w:rPr>
                <w:rFonts w:asciiTheme="minorHAnsi" w:hAnsiTheme="minorHAnsi" w:cstheme="minorHAnsi"/>
                <w:sz w:val="22"/>
                <w:szCs w:val="22"/>
              </w:rPr>
              <w:t>Indigenous communities</w:t>
            </w:r>
            <w:r w:rsidR="007902EF">
              <w:rPr>
                <w:rFonts w:asciiTheme="minorHAnsi" w:hAnsiTheme="minorHAnsi" w:cstheme="minorHAnsi"/>
                <w:sz w:val="22"/>
                <w:szCs w:val="22"/>
              </w:rPr>
              <w:t xml:space="preserve"> the researched focused on</w:t>
            </w:r>
            <w:r w:rsidRPr="002E35B2">
              <w:rPr>
                <w:rFonts w:asciiTheme="minorHAnsi" w:hAnsiTheme="minorHAnsi" w:cstheme="minorHAnsi"/>
                <w:sz w:val="22"/>
                <w:szCs w:val="22"/>
              </w:rPr>
              <w:t xml:space="preserve"> </w:t>
            </w:r>
            <w:r w:rsidR="007902EF">
              <w:rPr>
                <w:rFonts w:asciiTheme="minorHAnsi" w:hAnsiTheme="minorHAnsi" w:cstheme="minorHAnsi"/>
                <w:sz w:val="22"/>
                <w:szCs w:val="22"/>
              </w:rPr>
              <w:t>firsthand</w:t>
            </w:r>
            <w:r w:rsidRPr="002E35B2">
              <w:rPr>
                <w:rFonts w:asciiTheme="minorHAnsi" w:hAnsiTheme="minorHAnsi" w:cstheme="minorHAnsi"/>
                <w:sz w:val="22"/>
                <w:szCs w:val="22"/>
              </w:rPr>
              <w:t>. While reflexivity and solidarity guided the approach, the absence of</w:t>
            </w:r>
            <w:r w:rsidR="007902EF">
              <w:rPr>
                <w:rFonts w:asciiTheme="minorHAnsi" w:hAnsiTheme="minorHAnsi" w:cstheme="minorHAnsi"/>
                <w:sz w:val="22"/>
                <w:szCs w:val="22"/>
              </w:rPr>
              <w:t xml:space="preserve"> </w:t>
            </w:r>
            <w:r w:rsidRPr="002E35B2">
              <w:rPr>
                <w:rFonts w:asciiTheme="minorHAnsi" w:hAnsiTheme="minorHAnsi" w:cstheme="minorHAnsi"/>
                <w:sz w:val="22"/>
                <w:szCs w:val="22"/>
              </w:rPr>
              <w:t>authorship</w:t>
            </w:r>
            <w:r w:rsidR="007902EF">
              <w:rPr>
                <w:rFonts w:asciiTheme="minorHAnsi" w:hAnsiTheme="minorHAnsi" w:cstheme="minorHAnsi"/>
                <w:sz w:val="22"/>
                <w:szCs w:val="22"/>
              </w:rPr>
              <w:t xml:space="preserve"> from an Indigenous Chiapas citizen</w:t>
            </w:r>
            <w:r w:rsidRPr="002E35B2">
              <w:rPr>
                <w:rFonts w:asciiTheme="minorHAnsi" w:hAnsiTheme="minorHAnsi" w:cstheme="minorHAnsi"/>
                <w:sz w:val="22"/>
                <w:szCs w:val="22"/>
              </w:rPr>
              <w:t xml:space="preserve"> limits how deeply the findings can represent lived realities. These limitations mean that the recommendations provided above should be seen as a starting point rather than definitive guidance, underscoring the importance of privileging Indigenous voices in future policy and practice.</w:t>
            </w:r>
          </w:p>
          <w:p w14:paraId="39126ECA" w14:textId="45689A8E" w:rsidR="002E35B2" w:rsidRPr="002E35B2" w:rsidRDefault="002E35B2" w:rsidP="002E35B2">
            <w:pPr>
              <w:pStyle w:val="NormalWeb"/>
              <w:rPr>
                <w:rFonts w:asciiTheme="minorHAnsi" w:hAnsiTheme="minorHAnsi" w:cstheme="minorHAnsi"/>
                <w:sz w:val="22"/>
                <w:szCs w:val="22"/>
              </w:rPr>
            </w:pPr>
            <w:r w:rsidRPr="002E35B2">
              <w:rPr>
                <w:rFonts w:asciiTheme="minorHAnsi" w:hAnsiTheme="minorHAnsi" w:cstheme="minorHAnsi"/>
                <w:sz w:val="22"/>
                <w:szCs w:val="22"/>
              </w:rPr>
              <w:t>Significant knowledge gaps also remain. For example, there is little comparative research into how autonomous Indigenous education models might be adapted across different global contexts, such as Māori communities in Aotearoa or First Nations in Canada and Australia. Likewise, there is insufficient investigation into the links between Indigenous-run schools and measurable well-being outcomes, the sustainability of such systems in resource-constrained contexts, and the long-term impact of Indigenous</w:t>
            </w:r>
            <w:r w:rsidR="007902EF">
              <w:rPr>
                <w:rFonts w:asciiTheme="minorHAnsi" w:hAnsiTheme="minorHAnsi" w:cstheme="minorHAnsi"/>
                <w:sz w:val="22"/>
                <w:szCs w:val="22"/>
              </w:rPr>
              <w:t xml:space="preserve"> </w:t>
            </w:r>
            <w:proofErr w:type="spellStart"/>
            <w:r w:rsidR="007902EF">
              <w:rPr>
                <w:rFonts w:asciiTheme="minorHAnsi" w:hAnsiTheme="minorHAnsi" w:cstheme="minorHAnsi"/>
                <w:sz w:val="22"/>
                <w:szCs w:val="22"/>
              </w:rPr>
              <w:t>centrered</w:t>
            </w:r>
            <w:proofErr w:type="spellEnd"/>
            <w:r w:rsidRPr="002E35B2">
              <w:rPr>
                <w:rFonts w:asciiTheme="minorHAnsi" w:hAnsiTheme="minorHAnsi" w:cstheme="minorHAnsi"/>
                <w:sz w:val="22"/>
                <w:szCs w:val="22"/>
              </w:rPr>
              <w:t xml:space="preserve"> education on cultural survival, confidence, and community resilience.</w:t>
            </w:r>
          </w:p>
          <w:p w14:paraId="1330FC33" w14:textId="77777777" w:rsidR="002E35B2" w:rsidRDefault="002E35B2" w:rsidP="002E35B2">
            <w:pPr>
              <w:pStyle w:val="NormalWeb"/>
              <w:rPr>
                <w:rFonts w:asciiTheme="minorHAnsi" w:hAnsiTheme="minorHAnsi" w:cstheme="minorHAnsi"/>
                <w:sz w:val="22"/>
                <w:szCs w:val="22"/>
              </w:rPr>
            </w:pPr>
            <w:r w:rsidRPr="002E35B2">
              <w:rPr>
                <w:rFonts w:asciiTheme="minorHAnsi" w:hAnsiTheme="minorHAnsi" w:cstheme="minorHAnsi"/>
                <w:sz w:val="22"/>
                <w:szCs w:val="22"/>
              </w:rPr>
              <w:t>Addressing these gaps is important because education plays a pivotal role in shaping both cultural continuity and social well-being. Without deeper Indigenous-led, culturally grounded research, development actors risk continuing top-down approaches that misrepresent or undermine Indigenous priorities. Future research must therefore centre Indigenous scholars, use Indigenous languages, and explore partnership models that respect autonomy while addressing material resource needs. Only through such work can policy and development practice better support education as a site of decolonisation, resilience, and empowerment.</w:t>
            </w:r>
          </w:p>
          <w:p w14:paraId="42399A5F" w14:textId="5D43C6E2" w:rsidR="007902EF" w:rsidRPr="007902EF" w:rsidRDefault="007902EF" w:rsidP="007902EF">
            <w:pPr>
              <w:pStyle w:val="NormalWeb"/>
              <w:rPr>
                <w:rFonts w:asciiTheme="minorHAnsi" w:hAnsiTheme="minorHAnsi" w:cstheme="minorHAnsi"/>
                <w:sz w:val="22"/>
                <w:szCs w:val="22"/>
              </w:rPr>
            </w:pPr>
            <w:bookmarkStart w:id="0" w:name="OLE_LINK6"/>
            <w:r w:rsidRPr="007902EF">
              <w:rPr>
                <w:rFonts w:asciiTheme="minorHAnsi" w:hAnsiTheme="minorHAnsi" w:cstheme="minorHAnsi"/>
                <w:sz w:val="22"/>
                <w:szCs w:val="22"/>
              </w:rPr>
              <w:t>Opening the door to Indigenous voices in development means listening even when those voices raise uncomfortable criticisms of the so-called “good work” that development actors claim to be doing or have done. In academia, the chronic underrepresentation of Indigenous perspectives has long allowed such critiques to be drowned out by the weight of Western scholarship. Too often, the testimony of one Indigenous scholar documenting harm is refuted by dozens of Western academics praising the same practice as a success</w:t>
            </w:r>
            <w:r>
              <w:rPr>
                <w:rFonts w:asciiTheme="minorHAnsi" w:hAnsiTheme="minorHAnsi" w:cstheme="minorHAnsi"/>
                <w:sz w:val="22"/>
                <w:szCs w:val="22"/>
              </w:rPr>
              <w:t xml:space="preserve">, </w:t>
            </w:r>
            <w:r w:rsidRPr="007902EF">
              <w:rPr>
                <w:rFonts w:asciiTheme="minorHAnsi" w:hAnsiTheme="minorHAnsi" w:cstheme="minorHAnsi"/>
                <w:sz w:val="22"/>
                <w:szCs w:val="22"/>
              </w:rPr>
              <w:t>while simultaneously building careers and accumulating academic capital.</w:t>
            </w:r>
          </w:p>
          <w:p w14:paraId="36E40A00" w14:textId="3E1B5AA6" w:rsidR="007902EF" w:rsidRPr="007902EF" w:rsidRDefault="007902EF" w:rsidP="007902EF">
            <w:pPr>
              <w:pStyle w:val="NormalWeb"/>
              <w:rPr>
                <w:rFonts w:asciiTheme="minorHAnsi" w:hAnsiTheme="minorHAnsi" w:cstheme="minorHAnsi"/>
                <w:sz w:val="22"/>
                <w:szCs w:val="22"/>
              </w:rPr>
            </w:pPr>
            <w:r w:rsidRPr="007902EF">
              <w:rPr>
                <w:rFonts w:asciiTheme="minorHAnsi" w:hAnsiTheme="minorHAnsi" w:cstheme="minorHAnsi"/>
                <w:sz w:val="22"/>
                <w:szCs w:val="22"/>
              </w:rPr>
              <w:t xml:space="preserve">In practice, authentic relationship-building is essential, yet difficult to achieve when academic, social, and economic gain continue to shape interactions. From both the findings of this research and my own dialogue with Indigenous communities, I feel strongly that these communities worldwide are increasingly unwilling to be told “what is good for them,” especially by Global North nations grappling with their own </w:t>
            </w:r>
            <w:r>
              <w:rPr>
                <w:rFonts w:asciiTheme="minorHAnsi" w:hAnsiTheme="minorHAnsi" w:cstheme="minorHAnsi"/>
                <w:sz w:val="22"/>
                <w:szCs w:val="22"/>
              </w:rPr>
              <w:t>current economic,</w:t>
            </w:r>
            <w:r w:rsidRPr="007902EF">
              <w:rPr>
                <w:rFonts w:asciiTheme="minorHAnsi" w:hAnsiTheme="minorHAnsi" w:cstheme="minorHAnsi"/>
                <w:sz w:val="22"/>
                <w:szCs w:val="22"/>
              </w:rPr>
              <w:t xml:space="preserve"> social</w:t>
            </w:r>
            <w:r>
              <w:rPr>
                <w:rFonts w:asciiTheme="minorHAnsi" w:hAnsiTheme="minorHAnsi" w:cstheme="minorHAnsi"/>
                <w:sz w:val="22"/>
                <w:szCs w:val="22"/>
              </w:rPr>
              <w:t>,</w:t>
            </w:r>
            <w:r w:rsidRPr="007902EF">
              <w:rPr>
                <w:rFonts w:asciiTheme="minorHAnsi" w:hAnsiTheme="minorHAnsi" w:cstheme="minorHAnsi"/>
                <w:sz w:val="22"/>
                <w:szCs w:val="22"/>
              </w:rPr>
              <w:t xml:space="preserve"> and cultural crises.</w:t>
            </w:r>
          </w:p>
          <w:bookmarkEnd w:id="0"/>
          <w:p w14:paraId="24D4BE70" w14:textId="77777777" w:rsidR="007902EF" w:rsidRPr="002E35B2" w:rsidRDefault="007902EF" w:rsidP="002E35B2">
            <w:pPr>
              <w:pStyle w:val="NormalWeb"/>
              <w:rPr>
                <w:rFonts w:asciiTheme="minorHAnsi" w:hAnsiTheme="minorHAnsi" w:cstheme="minorHAnsi"/>
                <w:sz w:val="22"/>
                <w:szCs w:val="22"/>
              </w:rPr>
            </w:pPr>
          </w:p>
          <w:p w14:paraId="461ECD36" w14:textId="77777777" w:rsidR="002E35B2" w:rsidRPr="002E35B2" w:rsidRDefault="002E35B2" w:rsidP="002E35B2">
            <w:pPr>
              <w:pStyle w:val="BulletPoints"/>
              <w:numPr>
                <w:ilvl w:val="0"/>
                <w:numId w:val="0"/>
              </w:numPr>
              <w:jc w:val="left"/>
              <w:rPr>
                <w:rFonts w:asciiTheme="minorHAnsi" w:hAnsiTheme="minorHAnsi" w:cstheme="minorHAnsi"/>
                <w:b/>
                <w:color w:val="864EA8" w:themeColor="accent1" w:themeShade="BF"/>
              </w:rPr>
            </w:pPr>
          </w:p>
          <w:p w14:paraId="37F934D0" w14:textId="77777777" w:rsidR="006344A5" w:rsidRPr="00921C97" w:rsidRDefault="006344A5" w:rsidP="00117A0D">
            <w:pPr>
              <w:pStyle w:val="BulletPoints"/>
              <w:numPr>
                <w:ilvl w:val="0"/>
                <w:numId w:val="0"/>
              </w:numPr>
              <w:spacing w:after="0"/>
              <w:jc w:val="left"/>
              <w:rPr>
                <w:rFonts w:ascii="Tahoma" w:hAnsi="Tahoma" w:cs="Tahoma"/>
                <w:sz w:val="22"/>
                <w:szCs w:val="22"/>
              </w:rPr>
            </w:pPr>
          </w:p>
        </w:tc>
      </w:tr>
    </w:tbl>
    <w:p w14:paraId="1A4622B7" w14:textId="77777777" w:rsidR="00831C12" w:rsidRDefault="00831C12" w:rsidP="00831C12">
      <w:pPr>
        <w:pStyle w:val="BulletPoints"/>
        <w:numPr>
          <w:ilvl w:val="0"/>
          <w:numId w:val="0"/>
        </w:numPr>
        <w:ind w:right="1134"/>
        <w:jc w:val="left"/>
        <w:rPr>
          <w:b/>
        </w:rPr>
        <w:sectPr w:rsidR="00831C12" w:rsidSect="00A968B0">
          <w:headerReference w:type="default" r:id="rId19"/>
          <w:footerReference w:type="default" r:id="rId20"/>
          <w:type w:val="continuous"/>
          <w:pgSz w:w="11907" w:h="16840" w:code="9"/>
          <w:pgMar w:top="1440" w:right="851" w:bottom="851" w:left="851" w:header="135" w:footer="0" w:gutter="0"/>
          <w:pgNumType w:start="1"/>
          <w:cols w:num="2" w:space="720"/>
          <w:formProt w:val="0"/>
          <w:docGrid w:linePitch="299"/>
        </w:sectPr>
      </w:pPr>
    </w:p>
    <w:p w14:paraId="05F5F5F1" w14:textId="77777777" w:rsidR="00B90C33" w:rsidRDefault="00B90C33" w:rsidP="00831C12">
      <w:pPr>
        <w:pStyle w:val="BulletPoints"/>
        <w:numPr>
          <w:ilvl w:val="0"/>
          <w:numId w:val="0"/>
        </w:numPr>
        <w:ind w:right="1134"/>
        <w:jc w:val="left"/>
        <w:rPr>
          <w:rFonts w:asciiTheme="minorHAnsi" w:hAnsiTheme="minorHAnsi" w:cstheme="minorHAnsi"/>
          <w:b/>
          <w:color w:val="864EA8" w:themeColor="accent1" w:themeShade="BF"/>
        </w:rPr>
        <w:sectPr w:rsidR="00B90C33" w:rsidSect="00AA704D">
          <w:headerReference w:type="default" r:id="rId21"/>
          <w:type w:val="continuous"/>
          <w:pgSz w:w="11907" w:h="16840" w:code="9"/>
          <w:pgMar w:top="1440" w:right="851" w:bottom="1440" w:left="851" w:header="0" w:footer="0" w:gutter="0"/>
          <w:pgNumType w:start="1"/>
          <w:cols w:space="720"/>
          <w:formProt w:val="0"/>
          <w:docGrid w:linePitch="299"/>
        </w:sectPr>
      </w:pPr>
    </w:p>
    <w:tbl>
      <w:tblPr>
        <w:tblW w:w="9468" w:type="dxa"/>
        <w:tblLayout w:type="fixed"/>
        <w:tblLook w:val="0000" w:firstRow="0" w:lastRow="0" w:firstColumn="0" w:lastColumn="0" w:noHBand="0" w:noVBand="0"/>
      </w:tblPr>
      <w:tblGrid>
        <w:gridCol w:w="9468"/>
      </w:tblGrid>
      <w:tr w:rsidR="006344A5" w14:paraId="215C8F5C" w14:textId="77777777" w:rsidTr="00F3682C">
        <w:trPr>
          <w:trHeight w:val="1137"/>
        </w:trPr>
        <w:tc>
          <w:tcPr>
            <w:tcW w:w="9468" w:type="dxa"/>
          </w:tcPr>
          <w:p w14:paraId="1E0F1FC4" w14:textId="14B90366" w:rsidR="006344A5" w:rsidRPr="00A62056" w:rsidRDefault="006344A5" w:rsidP="00831C12">
            <w:pPr>
              <w:pStyle w:val="BulletPoints"/>
              <w:numPr>
                <w:ilvl w:val="0"/>
                <w:numId w:val="0"/>
              </w:numPr>
              <w:ind w:right="1134"/>
              <w:jc w:val="left"/>
              <w:rPr>
                <w:rFonts w:asciiTheme="minorHAnsi" w:hAnsiTheme="minorHAnsi" w:cstheme="minorHAnsi"/>
                <w:b/>
                <w:color w:val="864EA8" w:themeColor="accent1" w:themeShade="BF"/>
              </w:rPr>
            </w:pPr>
            <w:r w:rsidRPr="00A62056">
              <w:rPr>
                <w:rFonts w:asciiTheme="minorHAnsi" w:hAnsiTheme="minorHAnsi" w:cstheme="minorHAnsi"/>
                <w:b/>
                <w:color w:val="864EA8" w:themeColor="accent1" w:themeShade="BF"/>
              </w:rPr>
              <w:lastRenderedPageBreak/>
              <w:t>References</w:t>
            </w:r>
          </w:p>
          <w:p w14:paraId="359FF941" w14:textId="350A11C3" w:rsidR="00657B11" w:rsidRPr="00657B11" w:rsidRDefault="00657B11" w:rsidP="00657B11">
            <w:pPr>
              <w:pStyle w:val="p1"/>
              <w:rPr>
                <w:rFonts w:asciiTheme="minorHAnsi" w:hAnsiTheme="minorHAnsi" w:cstheme="minorHAnsi"/>
                <w:sz w:val="22"/>
                <w:szCs w:val="22"/>
              </w:rPr>
            </w:pPr>
            <w:r w:rsidRPr="00657B11">
              <w:rPr>
                <w:rFonts w:asciiTheme="minorHAnsi" w:hAnsiTheme="minorHAnsi" w:cstheme="minorHAnsi"/>
                <w:sz w:val="22"/>
                <w:szCs w:val="22"/>
              </w:rPr>
              <w:t>Acosta, A. (2020). Buen Vivir: a perspective for rethinking the world. In C. Burkhart., M.</w:t>
            </w:r>
            <w:r>
              <w:rPr>
                <w:rFonts w:asciiTheme="minorHAnsi" w:hAnsiTheme="minorHAnsi" w:cstheme="minorHAnsi"/>
                <w:sz w:val="22"/>
                <w:szCs w:val="22"/>
              </w:rPr>
              <w:t xml:space="preserve"> </w:t>
            </w:r>
            <w:r w:rsidRPr="00657B11">
              <w:rPr>
                <w:rFonts w:asciiTheme="minorHAnsi" w:hAnsiTheme="minorHAnsi" w:cstheme="minorHAnsi"/>
                <w:sz w:val="22"/>
                <w:szCs w:val="22"/>
              </w:rPr>
              <w:t>Schmelzer &amp; N.</w:t>
            </w:r>
            <w:r>
              <w:rPr>
                <w:rFonts w:asciiTheme="minorHAnsi" w:hAnsiTheme="minorHAnsi" w:cstheme="minorHAnsi"/>
                <w:sz w:val="22"/>
                <w:szCs w:val="22"/>
              </w:rPr>
              <w:t xml:space="preserve"> </w:t>
            </w:r>
            <w:r w:rsidRPr="00657B11">
              <w:rPr>
                <w:rFonts w:asciiTheme="minorHAnsi" w:hAnsiTheme="minorHAnsi" w:cstheme="minorHAnsi"/>
                <w:sz w:val="22"/>
                <w:szCs w:val="22"/>
              </w:rPr>
              <w:t>Treu (Eds.), Degrowth in Movements: Exploring Pathways for</w:t>
            </w:r>
            <w:r>
              <w:rPr>
                <w:rFonts w:asciiTheme="minorHAnsi" w:hAnsiTheme="minorHAnsi" w:cstheme="minorHAnsi"/>
                <w:sz w:val="22"/>
                <w:szCs w:val="22"/>
              </w:rPr>
              <w:t xml:space="preserve"> </w:t>
            </w:r>
            <w:r w:rsidRPr="00657B11">
              <w:rPr>
                <w:rFonts w:asciiTheme="minorHAnsi" w:hAnsiTheme="minorHAnsi" w:cstheme="minorHAnsi"/>
                <w:sz w:val="22"/>
                <w:szCs w:val="22"/>
              </w:rPr>
              <w:t>Transformation (pp. 87-99). John Hunt Publishing, Winchester.</w:t>
            </w:r>
          </w:p>
          <w:p w14:paraId="19CCA528" w14:textId="77777777" w:rsidR="00657B11" w:rsidRDefault="00657B11" w:rsidP="00657B11">
            <w:pPr>
              <w:rPr>
                <w:rFonts w:asciiTheme="minorHAnsi" w:hAnsiTheme="minorHAnsi" w:cstheme="minorHAnsi"/>
                <w:color w:val="000000" w:themeColor="text1"/>
                <w:szCs w:val="22"/>
              </w:rPr>
            </w:pPr>
          </w:p>
          <w:p w14:paraId="79E90F61" w14:textId="4037D3AE" w:rsidR="00657B11" w:rsidRPr="00657B11" w:rsidRDefault="00657B11" w:rsidP="00657B11">
            <w:pPr>
              <w:pStyle w:val="p1"/>
              <w:rPr>
                <w:rFonts w:asciiTheme="minorHAnsi" w:hAnsiTheme="minorHAnsi" w:cstheme="minorHAnsi"/>
                <w:sz w:val="22"/>
                <w:szCs w:val="22"/>
              </w:rPr>
            </w:pPr>
            <w:proofErr w:type="spellStart"/>
            <w:r w:rsidRPr="00657B11">
              <w:rPr>
                <w:rFonts w:asciiTheme="minorHAnsi" w:hAnsiTheme="minorHAnsi" w:cstheme="minorHAnsi"/>
                <w:sz w:val="22"/>
                <w:szCs w:val="22"/>
              </w:rPr>
              <w:t>Baronnet</w:t>
            </w:r>
            <w:proofErr w:type="spellEnd"/>
            <w:r w:rsidRPr="00657B11">
              <w:rPr>
                <w:rFonts w:asciiTheme="minorHAnsi" w:hAnsiTheme="minorHAnsi" w:cstheme="minorHAnsi"/>
                <w:sz w:val="22"/>
                <w:szCs w:val="22"/>
              </w:rPr>
              <w:t>, B., &amp; Stahler-Sholk, R. (2019). “Never again a México without us”: education</w:t>
            </w:r>
            <w:r>
              <w:rPr>
                <w:rFonts w:asciiTheme="minorHAnsi" w:hAnsiTheme="minorHAnsi" w:cstheme="minorHAnsi"/>
                <w:sz w:val="22"/>
                <w:szCs w:val="22"/>
              </w:rPr>
              <w:t xml:space="preserve"> </w:t>
            </w:r>
            <w:r w:rsidRPr="00657B11">
              <w:rPr>
                <w:rFonts w:asciiTheme="minorHAnsi" w:hAnsiTheme="minorHAnsi" w:cstheme="minorHAnsi"/>
                <w:sz w:val="22"/>
                <w:szCs w:val="22"/>
              </w:rPr>
              <w:t>and indigenous autonomy struggles in México. In R. Aman &amp; T Ireland (Eds.),</w:t>
            </w:r>
            <w:r>
              <w:rPr>
                <w:rFonts w:asciiTheme="minorHAnsi" w:hAnsiTheme="minorHAnsi" w:cstheme="minorHAnsi"/>
                <w:sz w:val="22"/>
                <w:szCs w:val="22"/>
              </w:rPr>
              <w:t xml:space="preserve"> </w:t>
            </w:r>
            <w:r w:rsidRPr="00657B11">
              <w:rPr>
                <w:rFonts w:asciiTheme="minorHAnsi" w:hAnsiTheme="minorHAnsi" w:cstheme="minorHAnsi"/>
                <w:sz w:val="22"/>
                <w:szCs w:val="22"/>
              </w:rPr>
              <w:t>Educational Alternatives in Latin America: New Modes of Counter-Hegemonic</w:t>
            </w:r>
            <w:r>
              <w:rPr>
                <w:rFonts w:asciiTheme="minorHAnsi" w:hAnsiTheme="minorHAnsi" w:cstheme="minorHAnsi"/>
                <w:sz w:val="22"/>
                <w:szCs w:val="22"/>
              </w:rPr>
              <w:t xml:space="preserve"> </w:t>
            </w:r>
            <w:r w:rsidRPr="00657B11">
              <w:rPr>
                <w:rFonts w:asciiTheme="minorHAnsi" w:hAnsiTheme="minorHAnsi" w:cstheme="minorHAnsi"/>
                <w:sz w:val="22"/>
                <w:szCs w:val="22"/>
              </w:rPr>
              <w:t>Learning, 63-87. Palgrave Macmillan Cham. https://doi.org/10.1007/978-3-319-53450-3</w:t>
            </w:r>
          </w:p>
          <w:p w14:paraId="2D7CAA77" w14:textId="77777777" w:rsidR="00657B11" w:rsidRPr="00657B11" w:rsidRDefault="00657B11" w:rsidP="00657B11">
            <w:pPr>
              <w:rPr>
                <w:rFonts w:asciiTheme="minorHAnsi" w:hAnsiTheme="minorHAnsi" w:cstheme="minorHAnsi"/>
                <w:color w:val="000000" w:themeColor="text1"/>
                <w:szCs w:val="22"/>
              </w:rPr>
            </w:pPr>
          </w:p>
          <w:p w14:paraId="124D2C41" w14:textId="5AE8BBE2" w:rsidR="00657B11" w:rsidRPr="00D13F59" w:rsidRDefault="00657B11" w:rsidP="00657B11">
            <w:pPr>
              <w:rPr>
                <w:rFonts w:asciiTheme="minorHAnsi" w:hAnsiTheme="minorHAnsi" w:cstheme="minorHAnsi"/>
                <w:color w:val="000000" w:themeColor="text1"/>
                <w:szCs w:val="22"/>
                <w:lang w:eastAsia="en-GB"/>
              </w:rPr>
            </w:pPr>
            <w:r w:rsidRPr="00657B11">
              <w:rPr>
                <w:rFonts w:asciiTheme="minorHAnsi" w:hAnsiTheme="minorHAnsi" w:cstheme="minorHAnsi"/>
                <w:color w:val="000000" w:themeColor="text1"/>
                <w:szCs w:val="22"/>
              </w:rPr>
              <w:t xml:space="preserve">Corlett, E. (2025, August 20). </w:t>
            </w:r>
            <w:r w:rsidRPr="00657B11">
              <w:rPr>
                <w:rStyle w:val="Emphasis"/>
                <w:rFonts w:asciiTheme="minorHAnsi" w:hAnsiTheme="minorHAnsi" w:cstheme="minorHAnsi"/>
                <w:color w:val="000000" w:themeColor="text1"/>
                <w:szCs w:val="22"/>
              </w:rPr>
              <w:t>Why is the New Zealand government cutting Māori words from some school books?</w:t>
            </w:r>
            <w:r w:rsidRPr="00657B11">
              <w:rPr>
                <w:rFonts w:asciiTheme="minorHAnsi" w:hAnsiTheme="minorHAnsi" w:cstheme="minorHAnsi"/>
                <w:color w:val="000000" w:themeColor="text1"/>
                <w:szCs w:val="22"/>
              </w:rPr>
              <w:t xml:space="preserve"> The Guardian. </w:t>
            </w:r>
            <w:hyperlink r:id="rId22" w:tgtFrame="_new" w:history="1">
              <w:r w:rsidRPr="00657B11">
                <w:rPr>
                  <w:rStyle w:val="Hyperlink"/>
                  <w:rFonts w:asciiTheme="minorHAnsi" w:hAnsiTheme="minorHAnsi" w:cstheme="minorHAnsi"/>
                  <w:color w:val="000000" w:themeColor="text1"/>
                  <w:szCs w:val="22"/>
                </w:rPr>
                <w:t>https://www.theguardian.com/world/2025/aug/20/maori-words-school-books-new-zealand</w:t>
              </w:r>
            </w:hyperlink>
          </w:p>
          <w:p w14:paraId="35A778C7" w14:textId="77777777" w:rsidR="00657B11" w:rsidRPr="00657B11" w:rsidRDefault="00657B11" w:rsidP="00657B11">
            <w:pPr>
              <w:pStyle w:val="NormalWeb"/>
              <w:rPr>
                <w:rFonts w:asciiTheme="minorHAnsi" w:hAnsiTheme="minorHAnsi" w:cstheme="minorHAnsi"/>
                <w:color w:val="000000" w:themeColor="text1"/>
                <w:sz w:val="22"/>
                <w:szCs w:val="22"/>
              </w:rPr>
            </w:pPr>
            <w:r w:rsidRPr="00657B11">
              <w:rPr>
                <w:rStyle w:val="Strong"/>
                <w:rFonts w:asciiTheme="minorHAnsi" w:hAnsiTheme="minorHAnsi" w:cstheme="minorHAnsi"/>
                <w:b w:val="0"/>
                <w:bCs w:val="0"/>
                <w:color w:val="000000" w:themeColor="text1"/>
                <w:sz w:val="22"/>
                <w:szCs w:val="22"/>
              </w:rPr>
              <w:t>Edel, C., &amp; Paik, K. (2025, April 8).</w:t>
            </w:r>
            <w:r w:rsidRPr="00657B11">
              <w:rPr>
                <w:rFonts w:asciiTheme="minorHAnsi" w:hAnsiTheme="minorHAnsi" w:cstheme="minorHAnsi"/>
                <w:color w:val="000000" w:themeColor="text1"/>
                <w:sz w:val="22"/>
                <w:szCs w:val="22"/>
              </w:rPr>
              <w:t xml:space="preserve"> China’s power play across the Pacific. </w:t>
            </w:r>
            <w:r w:rsidRPr="00657B11">
              <w:rPr>
                <w:rStyle w:val="Emphasis"/>
                <w:rFonts w:asciiTheme="minorHAnsi" w:hAnsiTheme="minorHAnsi" w:cstheme="minorHAnsi"/>
                <w:color w:val="000000" w:themeColor="text1"/>
                <w:sz w:val="22"/>
                <w:szCs w:val="22"/>
              </w:rPr>
              <w:t>Centre for Strategic and International Studies.</w:t>
            </w:r>
            <w:r w:rsidRPr="00657B11">
              <w:rPr>
                <w:rFonts w:asciiTheme="minorHAnsi" w:hAnsiTheme="minorHAnsi" w:cstheme="minorHAnsi"/>
                <w:color w:val="000000" w:themeColor="text1"/>
                <w:sz w:val="22"/>
                <w:szCs w:val="22"/>
              </w:rPr>
              <w:t xml:space="preserve"> </w:t>
            </w:r>
            <w:hyperlink r:id="rId23" w:anchor=":~:text=When%20Kiribati%20and%20Solomon%20Islands,have%20not%20all%20proceeded%20smoothly" w:history="1">
              <w:r w:rsidRPr="00657B11">
                <w:rPr>
                  <w:rStyle w:val="Hyperlink"/>
                  <w:rFonts w:asciiTheme="minorHAnsi" w:hAnsiTheme="minorHAnsi" w:cstheme="minorHAnsi"/>
                  <w:color w:val="000000" w:themeColor="text1"/>
                  <w:szCs w:val="22"/>
                </w:rPr>
                <w:t>https://www.csis.org/analysis/chinas-power-play-acrosspacific#:~:text=When%20Kiribati%20and%20Solomon%20Islands,have%20not%20all%20proceeded%20smoothly</w:t>
              </w:r>
            </w:hyperlink>
          </w:p>
          <w:p w14:paraId="01D09045" w14:textId="307FCAB4" w:rsidR="00657B11" w:rsidRPr="00657B11" w:rsidRDefault="00657B11" w:rsidP="00657B11">
            <w:pPr>
              <w:pStyle w:val="p1"/>
              <w:rPr>
                <w:rFonts w:asciiTheme="minorHAnsi" w:hAnsiTheme="minorHAnsi" w:cstheme="minorHAnsi"/>
                <w:color w:val="000000" w:themeColor="text1"/>
                <w:sz w:val="22"/>
                <w:szCs w:val="22"/>
              </w:rPr>
            </w:pPr>
            <w:proofErr w:type="spellStart"/>
            <w:r w:rsidRPr="00657B11">
              <w:rPr>
                <w:rFonts w:asciiTheme="minorHAnsi" w:hAnsiTheme="minorHAnsi" w:cstheme="minorHAnsi"/>
                <w:color w:val="000000" w:themeColor="text1"/>
                <w:sz w:val="22"/>
                <w:szCs w:val="22"/>
              </w:rPr>
              <w:t>Harazduk</w:t>
            </w:r>
            <w:proofErr w:type="spellEnd"/>
            <w:r w:rsidRPr="00657B11">
              <w:rPr>
                <w:rFonts w:asciiTheme="minorHAnsi" w:hAnsiTheme="minorHAnsi" w:cstheme="minorHAnsi"/>
                <w:color w:val="000000" w:themeColor="text1"/>
                <w:sz w:val="22"/>
                <w:szCs w:val="22"/>
              </w:rPr>
              <w:t>, I. (2014). Zapatistas and the Mexican educational system: a critical analysis of curriculum [Dissertation]. American University.</w:t>
            </w:r>
          </w:p>
          <w:p w14:paraId="393B6868" w14:textId="77777777" w:rsidR="00657B11" w:rsidRPr="00657B11" w:rsidRDefault="00657B11" w:rsidP="00657B11">
            <w:pPr>
              <w:pStyle w:val="p2"/>
              <w:rPr>
                <w:rFonts w:asciiTheme="minorHAnsi" w:hAnsiTheme="minorHAnsi" w:cstheme="minorHAnsi"/>
                <w:color w:val="000000" w:themeColor="text1"/>
                <w:sz w:val="22"/>
                <w:szCs w:val="22"/>
              </w:rPr>
            </w:pPr>
            <w:r w:rsidRPr="00657B11">
              <w:rPr>
                <w:rFonts w:asciiTheme="minorHAnsi" w:hAnsiTheme="minorHAnsi" w:cstheme="minorHAnsi"/>
                <w:color w:val="000000" w:themeColor="text1"/>
                <w:sz w:val="22"/>
                <w:szCs w:val="22"/>
              </w:rPr>
              <w:t>https://doi.org/10.57912/23868528.v1</w:t>
            </w:r>
          </w:p>
          <w:p w14:paraId="096B39AC" w14:textId="70F77278" w:rsidR="00E1343C" w:rsidRPr="00657B11" w:rsidRDefault="00E1343C" w:rsidP="00657B11">
            <w:pPr>
              <w:pStyle w:val="BulletPoints"/>
              <w:numPr>
                <w:ilvl w:val="0"/>
                <w:numId w:val="0"/>
              </w:numPr>
              <w:spacing w:after="0"/>
              <w:ind w:left="720" w:hanging="720"/>
              <w:jc w:val="left"/>
              <w:rPr>
                <w:rFonts w:asciiTheme="minorHAnsi" w:hAnsiTheme="minorHAnsi" w:cstheme="minorHAnsi"/>
                <w:iCs/>
                <w:color w:val="000000" w:themeColor="text1"/>
                <w:sz w:val="22"/>
                <w:szCs w:val="22"/>
              </w:rPr>
            </w:pPr>
          </w:p>
          <w:p w14:paraId="100BF79D" w14:textId="0EBEAF99" w:rsidR="00657B11" w:rsidRPr="00657B11" w:rsidRDefault="00657B11" w:rsidP="00657B11">
            <w:pPr>
              <w:pStyle w:val="p1"/>
              <w:rPr>
                <w:rFonts w:asciiTheme="minorHAnsi" w:hAnsiTheme="minorHAnsi" w:cstheme="minorHAnsi"/>
                <w:color w:val="000000" w:themeColor="text1"/>
                <w:sz w:val="22"/>
                <w:szCs w:val="22"/>
              </w:rPr>
            </w:pPr>
            <w:r w:rsidRPr="00657B11">
              <w:rPr>
                <w:rFonts w:asciiTheme="minorHAnsi" w:hAnsiTheme="minorHAnsi" w:cstheme="minorHAnsi"/>
                <w:color w:val="000000" w:themeColor="text1"/>
                <w:sz w:val="22"/>
                <w:szCs w:val="22"/>
              </w:rPr>
              <w:t>Harvey, N. (1998). The Chiapas rebellion: The struggle for land and democracy. Duke University Press.</w:t>
            </w:r>
          </w:p>
          <w:p w14:paraId="21A48F52" w14:textId="77777777" w:rsidR="00657B11" w:rsidRPr="00657B11" w:rsidRDefault="00657B11" w:rsidP="00657B11">
            <w:pPr>
              <w:pStyle w:val="BulletPoints"/>
              <w:numPr>
                <w:ilvl w:val="0"/>
                <w:numId w:val="0"/>
              </w:numPr>
              <w:spacing w:after="0"/>
              <w:ind w:left="720" w:hanging="720"/>
              <w:jc w:val="left"/>
              <w:rPr>
                <w:rFonts w:asciiTheme="minorHAnsi" w:hAnsiTheme="minorHAnsi" w:cstheme="minorHAnsi"/>
                <w:iCs/>
                <w:color w:val="000000" w:themeColor="text1"/>
                <w:sz w:val="22"/>
                <w:szCs w:val="22"/>
              </w:rPr>
            </w:pPr>
          </w:p>
          <w:p w14:paraId="02A37E21" w14:textId="512FEF0C" w:rsidR="00657B11" w:rsidRPr="00657B11" w:rsidRDefault="00657B11" w:rsidP="00657B11">
            <w:pPr>
              <w:pStyle w:val="p1"/>
              <w:rPr>
                <w:rFonts w:asciiTheme="minorHAnsi" w:hAnsiTheme="minorHAnsi" w:cstheme="minorHAnsi"/>
                <w:color w:val="000000" w:themeColor="text1"/>
                <w:sz w:val="22"/>
                <w:szCs w:val="22"/>
              </w:rPr>
            </w:pPr>
            <w:r w:rsidRPr="00657B11">
              <w:rPr>
                <w:rFonts w:asciiTheme="minorHAnsi" w:hAnsiTheme="minorHAnsi" w:cstheme="minorHAnsi"/>
                <w:color w:val="000000" w:themeColor="text1"/>
                <w:sz w:val="22"/>
                <w:szCs w:val="22"/>
              </w:rPr>
              <w:t>Henze, R., &amp; Davis, K. A. (1999). Authenticity and identity: Lessons from indigenous language education. Anthropology &amp; Education Quarterly, 30(1), 3-21.</w:t>
            </w:r>
          </w:p>
          <w:p w14:paraId="2DB9AA89" w14:textId="77777777" w:rsidR="00657B11" w:rsidRPr="00657B11" w:rsidRDefault="00657B11" w:rsidP="00657B11">
            <w:pPr>
              <w:pStyle w:val="p1"/>
              <w:rPr>
                <w:rFonts w:asciiTheme="minorHAnsi" w:hAnsiTheme="minorHAnsi" w:cstheme="minorHAnsi"/>
                <w:color w:val="000000" w:themeColor="text1"/>
                <w:sz w:val="22"/>
                <w:szCs w:val="22"/>
              </w:rPr>
            </w:pPr>
          </w:p>
          <w:p w14:paraId="5A12D12E" w14:textId="77777777" w:rsidR="00657B11" w:rsidRPr="00657B11" w:rsidRDefault="00657B11" w:rsidP="00657B11">
            <w:pPr>
              <w:pStyle w:val="p1"/>
              <w:rPr>
                <w:rFonts w:asciiTheme="minorHAnsi" w:hAnsiTheme="minorHAnsi" w:cstheme="minorHAnsi"/>
                <w:color w:val="000000" w:themeColor="text1"/>
                <w:sz w:val="22"/>
                <w:szCs w:val="22"/>
              </w:rPr>
            </w:pPr>
            <w:r w:rsidRPr="00657B11">
              <w:rPr>
                <w:rFonts w:asciiTheme="minorHAnsi" w:hAnsiTheme="minorHAnsi" w:cstheme="minorHAnsi"/>
                <w:color w:val="000000" w:themeColor="text1"/>
                <w:sz w:val="22"/>
                <w:szCs w:val="22"/>
              </w:rPr>
              <w:t>Reyes-Martínez, J. (2022). Cultural participation and subjective well-being of Indigenous</w:t>
            </w:r>
          </w:p>
          <w:p w14:paraId="1EEFB73E" w14:textId="77777777" w:rsidR="00657B11" w:rsidRPr="00657B11" w:rsidRDefault="00657B11" w:rsidP="00657B11">
            <w:pPr>
              <w:pStyle w:val="p1"/>
              <w:rPr>
                <w:rFonts w:asciiTheme="minorHAnsi" w:hAnsiTheme="minorHAnsi" w:cstheme="minorHAnsi"/>
                <w:color w:val="000000" w:themeColor="text1"/>
                <w:sz w:val="22"/>
                <w:szCs w:val="22"/>
              </w:rPr>
            </w:pPr>
            <w:r w:rsidRPr="00657B11">
              <w:rPr>
                <w:rFonts w:asciiTheme="minorHAnsi" w:hAnsiTheme="minorHAnsi" w:cstheme="minorHAnsi"/>
                <w:color w:val="000000" w:themeColor="text1"/>
                <w:sz w:val="22"/>
                <w:szCs w:val="22"/>
              </w:rPr>
              <w:t>in Latin America. Applied Research in Quality of Life, 17(2), 635-654.</w:t>
            </w:r>
          </w:p>
          <w:p w14:paraId="6D557DB8" w14:textId="256880A9" w:rsidR="00657B11" w:rsidRDefault="009D6C4B" w:rsidP="00657B11">
            <w:pPr>
              <w:pStyle w:val="p2"/>
              <w:rPr>
                <w:rFonts w:asciiTheme="minorHAnsi" w:hAnsiTheme="minorHAnsi" w:cstheme="minorHAnsi"/>
                <w:color w:val="000000" w:themeColor="text1"/>
                <w:sz w:val="22"/>
                <w:szCs w:val="22"/>
              </w:rPr>
            </w:pPr>
            <w:hyperlink r:id="rId24" w:history="1">
              <w:r w:rsidRPr="00CA4B01">
                <w:rPr>
                  <w:rStyle w:val="Hyperlink"/>
                  <w:rFonts w:asciiTheme="minorHAnsi" w:hAnsiTheme="minorHAnsi" w:cstheme="minorHAnsi"/>
                  <w:szCs w:val="22"/>
                </w:rPr>
                <w:t>https://doi.org/10.1007/s11482-021-09910-0</w:t>
              </w:r>
            </w:hyperlink>
          </w:p>
          <w:p w14:paraId="24C27D15" w14:textId="77777777" w:rsidR="009D6C4B" w:rsidRDefault="009D6C4B" w:rsidP="00657B11">
            <w:pPr>
              <w:pStyle w:val="p2"/>
              <w:rPr>
                <w:rFonts w:asciiTheme="minorHAnsi" w:hAnsiTheme="minorHAnsi" w:cstheme="minorHAnsi"/>
                <w:color w:val="000000" w:themeColor="text1"/>
                <w:sz w:val="22"/>
                <w:szCs w:val="22"/>
              </w:rPr>
            </w:pPr>
          </w:p>
          <w:p w14:paraId="3A891384" w14:textId="1FAB5B05" w:rsidR="00930817" w:rsidRPr="009D6C4B" w:rsidRDefault="009D6C4B" w:rsidP="009D6C4B">
            <w:pPr>
              <w:rPr>
                <w:rFonts w:asciiTheme="minorHAnsi" w:hAnsiTheme="minorHAnsi" w:cstheme="minorHAnsi"/>
              </w:rPr>
            </w:pPr>
            <w:r w:rsidRPr="009D6C4B">
              <w:rPr>
                <w:rFonts w:asciiTheme="minorHAnsi" w:hAnsiTheme="minorHAnsi" w:cstheme="minorHAnsi"/>
              </w:rPr>
              <w:t xml:space="preserve">The Roar Mag. (n.d.).  [Zapatista children in class]. The Roar Mag. </w:t>
            </w:r>
            <w:hyperlink r:id="rId25" w:history="1">
              <w:r w:rsidRPr="009D6C4B">
                <w:rPr>
                  <w:rStyle w:val="Hyperlink"/>
                  <w:rFonts w:asciiTheme="minorHAnsi" w:hAnsiTheme="minorHAnsi" w:cstheme="minorHAnsi"/>
                </w:rPr>
                <w:t>https://roarmag.org/essays/zapatista-autonomous-education-</w:t>
              </w:r>
              <w:r w:rsidRPr="009D6C4B">
                <w:rPr>
                  <w:rStyle w:val="Hyperlink"/>
                  <w:rFonts w:asciiTheme="minorHAnsi" w:hAnsiTheme="minorHAnsi" w:cstheme="minorHAnsi"/>
                </w:rPr>
                <w:t>c</w:t>
              </w:r>
              <w:r w:rsidRPr="009D6C4B">
                <w:rPr>
                  <w:rStyle w:val="Hyperlink"/>
                  <w:rFonts w:asciiTheme="minorHAnsi" w:hAnsiTheme="minorHAnsi" w:cstheme="minorHAnsi"/>
                </w:rPr>
                <w:t>hiapas/</w:t>
              </w:r>
            </w:hyperlink>
          </w:p>
          <w:p w14:paraId="05455B1C" w14:textId="77777777" w:rsidR="009D6C4B" w:rsidRDefault="009D6C4B" w:rsidP="009D6C4B">
            <w:pPr>
              <w:spacing w:line="360" w:lineRule="auto"/>
              <w:ind w:left="720" w:hanging="720"/>
              <w:contextualSpacing/>
              <w:rPr>
                <w:lang w:eastAsia="en-GB"/>
              </w:rPr>
            </w:pPr>
          </w:p>
          <w:p w14:paraId="37BE8C77" w14:textId="77777777" w:rsidR="00930817" w:rsidRPr="00930817" w:rsidRDefault="00930817" w:rsidP="00930817">
            <w:pPr>
              <w:rPr>
                <w:rFonts w:asciiTheme="minorHAnsi" w:hAnsiTheme="minorHAnsi" w:cstheme="minorHAnsi"/>
              </w:rPr>
            </w:pPr>
            <w:r w:rsidRPr="00930817">
              <w:rPr>
                <w:rFonts w:asciiTheme="minorHAnsi" w:hAnsiTheme="minorHAnsi" w:cstheme="minorHAnsi"/>
              </w:rPr>
              <w:t xml:space="preserve">Valtierra, P. (1998). Women of </w:t>
            </w:r>
            <w:proofErr w:type="spellStart"/>
            <w:r w:rsidRPr="00930817">
              <w:rPr>
                <w:rFonts w:asciiTheme="minorHAnsi" w:hAnsiTheme="minorHAnsi" w:cstheme="minorHAnsi"/>
              </w:rPr>
              <w:t>X´oyep</w:t>
            </w:r>
            <w:proofErr w:type="spellEnd"/>
            <w:r w:rsidRPr="00930817">
              <w:rPr>
                <w:rFonts w:asciiTheme="minorHAnsi" w:hAnsiTheme="minorHAnsi" w:cstheme="minorHAnsi"/>
              </w:rPr>
              <w:t xml:space="preserve">, </w:t>
            </w:r>
            <w:proofErr w:type="spellStart"/>
            <w:r w:rsidRPr="00930817">
              <w:rPr>
                <w:rFonts w:asciiTheme="minorHAnsi" w:hAnsiTheme="minorHAnsi" w:cstheme="minorHAnsi"/>
              </w:rPr>
              <w:t>Chenalhó</w:t>
            </w:r>
            <w:proofErr w:type="spellEnd"/>
            <w:r w:rsidRPr="00930817">
              <w:rPr>
                <w:rFonts w:asciiTheme="minorHAnsi" w:hAnsiTheme="minorHAnsi" w:cstheme="minorHAnsi"/>
              </w:rPr>
              <w:t xml:space="preserve">, Chiapas [Photograph]. </w:t>
            </w:r>
            <w:proofErr w:type="spellStart"/>
            <w:r w:rsidRPr="00930817">
              <w:rPr>
                <w:rFonts w:asciiTheme="minorHAnsi" w:hAnsiTheme="minorHAnsi" w:cstheme="minorHAnsi"/>
              </w:rPr>
              <w:t>Secretaría</w:t>
            </w:r>
            <w:proofErr w:type="spellEnd"/>
            <w:r w:rsidRPr="00930817">
              <w:rPr>
                <w:rFonts w:asciiTheme="minorHAnsi" w:hAnsiTheme="minorHAnsi" w:cstheme="minorHAnsi"/>
              </w:rPr>
              <w:t xml:space="preserve"> de Cultura, </w:t>
            </w:r>
            <w:proofErr w:type="spellStart"/>
            <w:r w:rsidRPr="00930817">
              <w:rPr>
                <w:rFonts w:asciiTheme="minorHAnsi" w:hAnsiTheme="minorHAnsi" w:cstheme="minorHAnsi"/>
              </w:rPr>
              <w:t>Gobierno</w:t>
            </w:r>
            <w:proofErr w:type="spellEnd"/>
            <w:r w:rsidRPr="00930817">
              <w:rPr>
                <w:rFonts w:asciiTheme="minorHAnsi" w:hAnsiTheme="minorHAnsi" w:cstheme="minorHAnsi"/>
              </w:rPr>
              <w:t xml:space="preserve"> de México. </w:t>
            </w:r>
            <w:hyperlink r:id="rId26" w:tgtFrame="_new" w:history="1">
              <w:r w:rsidRPr="00930817">
                <w:rPr>
                  <w:rStyle w:val="Hyperlink"/>
                  <w:rFonts w:asciiTheme="minorHAnsi" w:hAnsiTheme="minorHAnsi" w:cstheme="minorHAnsi"/>
                </w:rPr>
                <w:t>https://www.cultura.gob.mx/revelandomexico/pedro-valtierra/</w:t>
              </w:r>
            </w:hyperlink>
          </w:p>
          <w:p w14:paraId="6A3CDE55" w14:textId="77777777" w:rsidR="00657B11" w:rsidRDefault="00657B11" w:rsidP="00657B11">
            <w:pPr>
              <w:pStyle w:val="BulletPoints"/>
              <w:numPr>
                <w:ilvl w:val="0"/>
                <w:numId w:val="0"/>
              </w:numPr>
              <w:spacing w:after="0"/>
              <w:ind w:left="720" w:hanging="720"/>
              <w:jc w:val="left"/>
              <w:rPr>
                <w:rFonts w:asciiTheme="minorHAnsi" w:hAnsiTheme="minorHAnsi" w:cstheme="minorHAnsi"/>
                <w:iCs/>
                <w:sz w:val="22"/>
                <w:szCs w:val="22"/>
              </w:rPr>
            </w:pPr>
          </w:p>
          <w:p w14:paraId="4E063ED2" w14:textId="77777777" w:rsidR="00657B11" w:rsidRDefault="00657B11" w:rsidP="00657B11">
            <w:pPr>
              <w:pStyle w:val="BulletPoints"/>
              <w:numPr>
                <w:ilvl w:val="0"/>
                <w:numId w:val="0"/>
              </w:numPr>
              <w:spacing w:after="0"/>
              <w:ind w:left="720" w:hanging="720"/>
              <w:jc w:val="left"/>
              <w:rPr>
                <w:rFonts w:asciiTheme="minorHAnsi" w:hAnsiTheme="minorHAnsi" w:cstheme="minorHAnsi"/>
                <w:iCs/>
                <w:sz w:val="22"/>
                <w:szCs w:val="22"/>
              </w:rPr>
            </w:pPr>
          </w:p>
          <w:p w14:paraId="1DE97C91" w14:textId="2B5BB0BD" w:rsidR="006344A5" w:rsidRPr="00165486" w:rsidRDefault="006344A5" w:rsidP="00165486">
            <w:pPr>
              <w:pStyle w:val="BulletPoints"/>
              <w:numPr>
                <w:ilvl w:val="0"/>
                <w:numId w:val="0"/>
              </w:numPr>
              <w:jc w:val="left"/>
              <w:rPr>
                <w:b/>
              </w:rPr>
            </w:pPr>
          </w:p>
        </w:tc>
      </w:tr>
      <w:tr w:rsidR="006344A5" w14:paraId="3E63A6F5" w14:textId="77777777" w:rsidTr="00FA73AD">
        <w:tc>
          <w:tcPr>
            <w:tcW w:w="9468" w:type="dxa"/>
          </w:tcPr>
          <w:p w14:paraId="1C624400" w14:textId="77777777" w:rsidR="00102E2E" w:rsidRPr="00A62056" w:rsidRDefault="00102E2E" w:rsidP="00102E2E">
            <w:pPr>
              <w:pStyle w:val="BulletPoints"/>
              <w:numPr>
                <w:ilvl w:val="0"/>
                <w:numId w:val="0"/>
              </w:numPr>
              <w:spacing w:after="0"/>
              <w:ind w:left="720" w:hanging="720"/>
              <w:jc w:val="left"/>
              <w:rPr>
                <w:rFonts w:ascii="Tahoma" w:hAnsi="Tahoma" w:cs="Tahoma"/>
                <w:iCs/>
                <w:color w:val="800080"/>
                <w:sz w:val="22"/>
                <w:szCs w:val="22"/>
              </w:rPr>
            </w:pPr>
          </w:p>
          <w:p w14:paraId="44D1002C" w14:textId="77777777" w:rsidR="00102E2E" w:rsidRDefault="00102E2E" w:rsidP="00102E2E">
            <w:pPr>
              <w:pStyle w:val="BulletPoints"/>
              <w:numPr>
                <w:ilvl w:val="0"/>
                <w:numId w:val="0"/>
              </w:numPr>
              <w:spacing w:after="0"/>
              <w:ind w:left="720" w:hanging="720"/>
              <w:jc w:val="left"/>
              <w:rPr>
                <w:rFonts w:ascii="Tahoma" w:hAnsi="Tahoma" w:cs="Tahoma"/>
                <w:i/>
                <w:color w:val="800080"/>
                <w:sz w:val="22"/>
                <w:szCs w:val="22"/>
              </w:rPr>
            </w:pPr>
          </w:p>
          <w:p w14:paraId="484D8A63" w14:textId="77777777" w:rsidR="006344A5" w:rsidRDefault="006344A5" w:rsidP="00165486">
            <w:pPr>
              <w:pStyle w:val="BulletPoints"/>
              <w:numPr>
                <w:ilvl w:val="0"/>
                <w:numId w:val="0"/>
              </w:numPr>
              <w:spacing w:after="0"/>
              <w:ind w:left="720"/>
              <w:jc w:val="left"/>
              <w:rPr>
                <w:rFonts w:ascii="Tahoma" w:hAnsi="Tahoma" w:cs="Tahoma"/>
                <w:i/>
                <w:color w:val="800080"/>
                <w:sz w:val="22"/>
                <w:szCs w:val="22"/>
              </w:rPr>
            </w:pPr>
          </w:p>
          <w:p w14:paraId="2522AD6B" w14:textId="77777777" w:rsidR="006344A5" w:rsidRPr="00511A84" w:rsidRDefault="006344A5" w:rsidP="00165486">
            <w:pPr>
              <w:pStyle w:val="BulletPoints"/>
              <w:numPr>
                <w:ilvl w:val="0"/>
                <w:numId w:val="0"/>
              </w:numPr>
              <w:spacing w:after="0"/>
              <w:ind w:left="720"/>
              <w:jc w:val="left"/>
              <w:rPr>
                <w:rFonts w:ascii="Tahoma" w:hAnsi="Tahoma" w:cs="Tahoma"/>
                <w:i/>
                <w:color w:val="800080"/>
                <w:sz w:val="22"/>
                <w:szCs w:val="22"/>
              </w:rPr>
            </w:pPr>
          </w:p>
        </w:tc>
      </w:tr>
      <w:tr w:rsidR="00117A0D" w14:paraId="2534EACF" w14:textId="77777777" w:rsidTr="00E843C0">
        <w:tc>
          <w:tcPr>
            <w:tcW w:w="9468" w:type="dxa"/>
          </w:tcPr>
          <w:p w14:paraId="3BFE48A0" w14:textId="1B8F4F8E" w:rsidR="00117A0D" w:rsidRPr="00165486" w:rsidRDefault="00117A0D" w:rsidP="00117A0D">
            <w:pPr>
              <w:pStyle w:val="BulletPoints"/>
              <w:numPr>
                <w:ilvl w:val="0"/>
                <w:numId w:val="0"/>
              </w:numPr>
              <w:spacing w:after="0"/>
              <w:ind w:left="720" w:hanging="720"/>
              <w:jc w:val="left"/>
              <w:rPr>
                <w:rFonts w:ascii="Tahoma" w:hAnsi="Tahoma" w:cs="Tahoma"/>
                <w:i/>
                <w:color w:val="800080"/>
                <w:sz w:val="22"/>
                <w:szCs w:val="22"/>
              </w:rPr>
            </w:pPr>
          </w:p>
        </w:tc>
      </w:tr>
    </w:tbl>
    <w:p w14:paraId="498E1BAF" w14:textId="77777777" w:rsidR="00831C12" w:rsidRDefault="00831C12" w:rsidP="006344A5">
      <w:pPr>
        <w:pStyle w:val="Heading3"/>
        <w:jc w:val="left"/>
        <w:sectPr w:rsidR="00831C12" w:rsidSect="00AA704D">
          <w:pgSz w:w="11907" w:h="16840" w:code="9"/>
          <w:pgMar w:top="851" w:right="851" w:bottom="1021" w:left="851" w:header="0" w:footer="0" w:gutter="0"/>
          <w:pgNumType w:start="1"/>
          <w:cols w:space="720"/>
          <w:formProt w:val="0"/>
          <w:docGrid w:linePitch="299"/>
        </w:sectPr>
      </w:pPr>
    </w:p>
    <w:p w14:paraId="37F93515" w14:textId="77777777" w:rsidR="00C96608" w:rsidRDefault="00C96608" w:rsidP="00B90C33">
      <w:pPr>
        <w:pStyle w:val="Heading3"/>
        <w:spacing w:after="0"/>
        <w:jc w:val="left"/>
      </w:pPr>
    </w:p>
    <w:sectPr w:rsidR="00C96608" w:rsidSect="00AA704D">
      <w:type w:val="continuous"/>
      <w:pgSz w:w="11907" w:h="16840" w:code="9"/>
      <w:pgMar w:top="720" w:right="720" w:bottom="720" w:left="720" w:header="567" w:footer="0" w:gutter="0"/>
      <w:pgNumType w:start="1"/>
      <w:cols w:num="2"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6B2ED" w14:textId="77777777" w:rsidR="007E5019" w:rsidRDefault="007E5019">
      <w:r>
        <w:separator/>
      </w:r>
    </w:p>
  </w:endnote>
  <w:endnote w:type="continuationSeparator" w:id="0">
    <w:p w14:paraId="60DBE622" w14:textId="77777777" w:rsidR="007E5019" w:rsidRDefault="007E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35C0" w14:textId="77777777" w:rsidR="00C035A9" w:rsidRDefault="00C035A9" w:rsidP="00A968B0">
    <w:pPr>
      <w:pStyle w:val="Footer"/>
      <w:framePr w:wrap="none" w:vAnchor="text" w:hAnchor="margin" w:xAlign="right" w:y="1"/>
    </w:pPr>
    <w:r>
      <w:fldChar w:fldCharType="begin"/>
    </w:r>
    <w:r>
      <w:instrText xml:space="preserve">PAGE  </w:instrText>
    </w:r>
    <w:r>
      <w:fldChar w:fldCharType="separate"/>
    </w:r>
    <w:r w:rsidR="00090811">
      <w:rPr>
        <w:noProof/>
      </w:rPr>
      <w:t>3</w:t>
    </w:r>
    <w:r>
      <w:fldChar w:fldCharType="end"/>
    </w:r>
  </w:p>
  <w:p w14:paraId="37F935C1" w14:textId="77777777" w:rsidR="00C035A9" w:rsidRDefault="00C035A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2239706"/>
      <w:docPartObj>
        <w:docPartGallery w:val="Page Numbers (Bottom of Page)"/>
        <w:docPartUnique/>
      </w:docPartObj>
    </w:sdtPr>
    <w:sdtContent>
      <w:p w14:paraId="255D0788" w14:textId="1D26C9DA" w:rsidR="00A968B0" w:rsidRDefault="00A968B0" w:rsidP="00CA4B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tbl>
    <w:tblPr>
      <w:tblStyle w:val="TableGrid"/>
      <w:tblW w:w="11908"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9214"/>
    </w:tblGrid>
    <w:tr w:rsidR="00F3682C" w14:paraId="7169633F" w14:textId="77777777" w:rsidTr="00F3682C">
      <w:trPr>
        <w:trHeight w:val="709"/>
      </w:trPr>
      <w:tc>
        <w:tcPr>
          <w:tcW w:w="2694" w:type="dxa"/>
          <w:shd w:val="clear" w:color="auto" w:fill="514DAA" w:themeFill="accent2" w:themeFillShade="BF"/>
        </w:tcPr>
        <w:p w14:paraId="6FE4FC77" w14:textId="0CE39F27" w:rsidR="00F3682C" w:rsidRDefault="00F3682C" w:rsidP="00A968B0">
          <w:pPr>
            <w:pStyle w:val="Footer"/>
            <w:tabs>
              <w:tab w:val="clear" w:pos="4320"/>
              <w:tab w:val="clear" w:pos="8640"/>
              <w:tab w:val="left" w:pos="2040"/>
              <w:tab w:val="right" w:pos="2478"/>
            </w:tabs>
            <w:ind w:right="360"/>
          </w:pPr>
          <w:r w:rsidRPr="00F3682C">
            <w:rPr>
              <w:noProof/>
            </w:rPr>
            <w:drawing>
              <wp:inline distT="0" distB="0" distL="0" distR="0" wp14:anchorId="73116251" wp14:editId="7CF5B622">
                <wp:extent cx="419099" cy="426617"/>
                <wp:effectExtent l="0" t="0" r="635" b="0"/>
                <wp:docPr id="618208086" name="Picture 1" descr="A logo with swirl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3" name="Picture 1" descr="A logo with swirls and lines&#10;&#10;Description automatically generated"/>
                        <pic:cNvPicPr/>
                      </pic:nvPicPr>
                      <pic:blipFill>
                        <a:blip r:embed="rId1"/>
                        <a:stretch>
                          <a:fillRect/>
                        </a:stretch>
                      </pic:blipFill>
                      <pic:spPr>
                        <a:xfrm>
                          <a:off x="0" y="0"/>
                          <a:ext cx="430505" cy="438228"/>
                        </a:xfrm>
                        <a:prstGeom prst="rect">
                          <a:avLst/>
                        </a:prstGeom>
                      </pic:spPr>
                    </pic:pic>
                  </a:graphicData>
                </a:graphic>
              </wp:inline>
            </w:drawing>
          </w:r>
          <w:r>
            <w:tab/>
          </w:r>
          <w:r w:rsidR="00047CA5">
            <w:tab/>
          </w:r>
        </w:p>
      </w:tc>
      <w:tc>
        <w:tcPr>
          <w:tcW w:w="9214" w:type="dxa"/>
          <w:shd w:val="clear" w:color="auto" w:fill="514DAA" w:themeFill="accent2" w:themeFillShade="BF"/>
        </w:tcPr>
        <w:p w14:paraId="3EB6445C" w14:textId="588C2F40" w:rsidR="00F3682C" w:rsidRPr="00F3682C" w:rsidRDefault="00F3682C" w:rsidP="00F3682C">
          <w:pPr>
            <w:pStyle w:val="Footer"/>
            <w:rPr>
              <w:b/>
              <w:bCs/>
            </w:rPr>
          </w:pPr>
          <w:r w:rsidRPr="00F3682C">
            <w:rPr>
              <w:b/>
              <w:bCs/>
              <w:color w:val="FFFFFF" w:themeColor="background1"/>
            </w:rPr>
            <w:t xml:space="preserve">                                                                                 </w:t>
          </w:r>
          <w:r>
            <w:rPr>
              <w:b/>
              <w:bCs/>
              <w:color w:val="FFFFFF" w:themeColor="background1"/>
            </w:rPr>
            <w:t xml:space="preserve">              </w:t>
          </w:r>
          <w:r w:rsidR="002E35B2">
            <w:rPr>
              <w:b/>
              <w:bCs/>
              <w:color w:val="FFFFFF" w:themeColor="background1"/>
            </w:rPr>
            <w:t>Joseph Brockliss</w:t>
          </w:r>
          <w:r w:rsidRPr="00F3682C">
            <w:rPr>
              <w:b/>
              <w:bCs/>
              <w:color w:val="FFFFFF" w:themeColor="background1"/>
            </w:rPr>
            <w:t xml:space="preserve"> | Page </w:t>
          </w:r>
          <w:r w:rsidR="002E35B2">
            <w:rPr>
              <w:b/>
              <w:bCs/>
              <w:color w:val="FFFFFF" w:themeColor="background1"/>
            </w:rPr>
            <w:t>3</w:t>
          </w:r>
        </w:p>
      </w:tc>
    </w:tr>
  </w:tbl>
  <w:p w14:paraId="37F935C2" w14:textId="39A1963F" w:rsidR="00C035A9" w:rsidRDefault="00C035A9">
    <w:pPr>
      <w:pStyle w:val="Footer"/>
      <w:tabs>
        <w:tab w:val="clear" w:pos="8640"/>
        <w:tab w:val="right" w:pos="9072"/>
      </w:tabs>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9214"/>
    </w:tblGrid>
    <w:tr w:rsidR="00F3682C" w14:paraId="0C849CCA" w14:textId="77777777" w:rsidTr="00F3682C">
      <w:trPr>
        <w:trHeight w:val="709"/>
      </w:trPr>
      <w:tc>
        <w:tcPr>
          <w:tcW w:w="2694" w:type="dxa"/>
          <w:shd w:val="clear" w:color="auto" w:fill="514DAA" w:themeFill="accent2" w:themeFillShade="BF"/>
        </w:tcPr>
        <w:p w14:paraId="1DE0B93B" w14:textId="1FCE50CA" w:rsidR="00F3682C" w:rsidRDefault="00F3682C" w:rsidP="00F3682C">
          <w:pPr>
            <w:pStyle w:val="Footer"/>
            <w:tabs>
              <w:tab w:val="clear" w:pos="4320"/>
              <w:tab w:val="clear" w:pos="8640"/>
              <w:tab w:val="right" w:pos="2478"/>
            </w:tabs>
          </w:pPr>
          <w:r w:rsidRPr="00F3682C">
            <w:rPr>
              <w:noProof/>
            </w:rPr>
            <w:drawing>
              <wp:inline distT="0" distB="0" distL="0" distR="0" wp14:anchorId="1ED142DE" wp14:editId="5CFEF02D">
                <wp:extent cx="419099" cy="426617"/>
                <wp:effectExtent l="0" t="0" r="635" b="0"/>
                <wp:docPr id="1990429711" name="Picture 1" descr="A logo with swirl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3" name="Picture 1" descr="A logo with swirls and lines&#10;&#10;Description automatically generated"/>
                        <pic:cNvPicPr/>
                      </pic:nvPicPr>
                      <pic:blipFill>
                        <a:blip r:embed="rId1"/>
                        <a:stretch>
                          <a:fillRect/>
                        </a:stretch>
                      </pic:blipFill>
                      <pic:spPr>
                        <a:xfrm>
                          <a:off x="0" y="0"/>
                          <a:ext cx="430505" cy="438228"/>
                        </a:xfrm>
                        <a:prstGeom prst="rect">
                          <a:avLst/>
                        </a:prstGeom>
                      </pic:spPr>
                    </pic:pic>
                  </a:graphicData>
                </a:graphic>
              </wp:inline>
            </w:drawing>
          </w:r>
          <w:r>
            <w:tab/>
          </w:r>
        </w:p>
      </w:tc>
      <w:tc>
        <w:tcPr>
          <w:tcW w:w="9214" w:type="dxa"/>
          <w:shd w:val="clear" w:color="auto" w:fill="514DAA" w:themeFill="accent2" w:themeFillShade="BF"/>
        </w:tcPr>
        <w:p w14:paraId="56BE0D04" w14:textId="3A4BB564" w:rsidR="00F3682C" w:rsidRDefault="00F3682C" w:rsidP="00F3682C">
          <w:pPr>
            <w:pStyle w:val="Footer"/>
            <w:rPr>
              <w:b/>
              <w:bCs/>
              <w:color w:val="FFFFFF" w:themeColor="background1"/>
            </w:rPr>
          </w:pPr>
          <w:r w:rsidRPr="00F3682C">
            <w:rPr>
              <w:b/>
              <w:bCs/>
              <w:color w:val="FFFFFF" w:themeColor="background1"/>
            </w:rPr>
            <w:t xml:space="preserve">                                                                                 </w:t>
          </w:r>
          <w:r>
            <w:rPr>
              <w:b/>
              <w:bCs/>
              <w:color w:val="FFFFFF" w:themeColor="background1"/>
            </w:rPr>
            <w:t xml:space="preserve">              </w:t>
          </w:r>
          <w:r w:rsidR="002E35B2">
            <w:rPr>
              <w:b/>
              <w:bCs/>
              <w:color w:val="FFFFFF" w:themeColor="background1"/>
            </w:rPr>
            <w:t>Joseph Brockliss</w:t>
          </w:r>
          <w:r w:rsidRPr="00F3682C">
            <w:rPr>
              <w:b/>
              <w:bCs/>
              <w:color w:val="FFFFFF" w:themeColor="background1"/>
            </w:rPr>
            <w:t xml:space="preserve"> </w:t>
          </w:r>
        </w:p>
        <w:p w14:paraId="512ED3EA" w14:textId="5406331C" w:rsidR="00047CA5" w:rsidRPr="00047CA5" w:rsidRDefault="00047CA5" w:rsidP="00047CA5">
          <w:pPr>
            <w:tabs>
              <w:tab w:val="left" w:pos="3495"/>
            </w:tabs>
          </w:pPr>
          <w:r>
            <w:tab/>
          </w:r>
        </w:p>
      </w:tc>
    </w:tr>
  </w:tbl>
  <w:p w14:paraId="37F935CA" w14:textId="44E48AD9" w:rsidR="00C035A9" w:rsidRDefault="00F3682C" w:rsidP="00F3682C">
    <w:pPr>
      <w:pStyle w:val="Footer"/>
      <w:rPr>
        <w:sz w:val="18"/>
      </w:rPr>
    </w:pPr>
    <w: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693759212"/>
      <w:docPartObj>
        <w:docPartGallery w:val="Page Numbers (Bottom of Page)"/>
        <w:docPartUnique/>
      </w:docPartObj>
    </w:sdtPr>
    <w:sdtContent>
      <w:p w14:paraId="15EAA86A" w14:textId="20A69912" w:rsidR="00A968B0" w:rsidRPr="00A968B0" w:rsidRDefault="00A968B0" w:rsidP="00CA4B01">
        <w:pPr>
          <w:pStyle w:val="Footer"/>
          <w:framePr w:wrap="none" w:vAnchor="text" w:hAnchor="margin" w:xAlign="right" w:y="1"/>
          <w:rPr>
            <w:rStyle w:val="PageNumber"/>
            <w:color w:val="FFFFFF" w:themeColor="background1"/>
          </w:rPr>
        </w:pPr>
        <w:r w:rsidRPr="00A968B0">
          <w:rPr>
            <w:rStyle w:val="PageNumber"/>
            <w:color w:val="FFFFFF" w:themeColor="background1"/>
          </w:rPr>
          <w:fldChar w:fldCharType="begin"/>
        </w:r>
        <w:r w:rsidRPr="00A968B0">
          <w:rPr>
            <w:rStyle w:val="PageNumber"/>
            <w:color w:val="FFFFFF" w:themeColor="background1"/>
          </w:rPr>
          <w:instrText xml:space="preserve"> PAGE </w:instrText>
        </w:r>
        <w:r w:rsidRPr="00A968B0">
          <w:rPr>
            <w:rStyle w:val="PageNumber"/>
            <w:color w:val="FFFFFF" w:themeColor="background1"/>
          </w:rPr>
          <w:fldChar w:fldCharType="separate"/>
        </w:r>
        <w:r w:rsidRPr="00A968B0">
          <w:rPr>
            <w:rStyle w:val="PageNumber"/>
            <w:noProof/>
            <w:color w:val="FFFFFF" w:themeColor="background1"/>
          </w:rPr>
          <w:t>4</w:t>
        </w:r>
        <w:r w:rsidRPr="00A968B0">
          <w:rPr>
            <w:rStyle w:val="PageNumber"/>
            <w:color w:val="FFFFFF" w:themeColor="background1"/>
          </w:rPr>
          <w:fldChar w:fldCharType="end"/>
        </w:r>
      </w:p>
    </w:sdtContent>
  </w:sdt>
  <w:tbl>
    <w:tblPr>
      <w:tblStyle w:val="TableGrid"/>
      <w:tblW w:w="11908"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9214"/>
    </w:tblGrid>
    <w:tr w:rsidR="002E35B2" w14:paraId="230E139B" w14:textId="77777777" w:rsidTr="00F3682C">
      <w:trPr>
        <w:trHeight w:val="709"/>
      </w:trPr>
      <w:tc>
        <w:tcPr>
          <w:tcW w:w="2694" w:type="dxa"/>
          <w:shd w:val="clear" w:color="auto" w:fill="514DAA" w:themeFill="accent2" w:themeFillShade="BF"/>
        </w:tcPr>
        <w:p w14:paraId="1B465493" w14:textId="77777777" w:rsidR="002E35B2" w:rsidRDefault="002E35B2" w:rsidP="00A968B0">
          <w:pPr>
            <w:pStyle w:val="Footer"/>
            <w:tabs>
              <w:tab w:val="clear" w:pos="4320"/>
              <w:tab w:val="clear" w:pos="8640"/>
              <w:tab w:val="left" w:pos="2040"/>
              <w:tab w:val="right" w:pos="2478"/>
            </w:tabs>
            <w:ind w:right="360"/>
          </w:pPr>
          <w:r w:rsidRPr="00F3682C">
            <w:rPr>
              <w:noProof/>
            </w:rPr>
            <w:drawing>
              <wp:inline distT="0" distB="0" distL="0" distR="0" wp14:anchorId="689E7975" wp14:editId="22A6759E">
                <wp:extent cx="419099" cy="426617"/>
                <wp:effectExtent l="0" t="0" r="635" b="0"/>
                <wp:docPr id="2041083821" name="Picture 1" descr="A logo with swirl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3" name="Picture 1" descr="A logo with swirls and lines&#10;&#10;Description automatically generated"/>
                        <pic:cNvPicPr/>
                      </pic:nvPicPr>
                      <pic:blipFill>
                        <a:blip r:embed="rId1"/>
                        <a:stretch>
                          <a:fillRect/>
                        </a:stretch>
                      </pic:blipFill>
                      <pic:spPr>
                        <a:xfrm>
                          <a:off x="0" y="0"/>
                          <a:ext cx="430505" cy="438228"/>
                        </a:xfrm>
                        <a:prstGeom prst="rect">
                          <a:avLst/>
                        </a:prstGeom>
                      </pic:spPr>
                    </pic:pic>
                  </a:graphicData>
                </a:graphic>
              </wp:inline>
            </w:drawing>
          </w:r>
          <w:r>
            <w:tab/>
          </w:r>
          <w:r>
            <w:tab/>
          </w:r>
        </w:p>
      </w:tc>
      <w:tc>
        <w:tcPr>
          <w:tcW w:w="9214" w:type="dxa"/>
          <w:shd w:val="clear" w:color="auto" w:fill="514DAA" w:themeFill="accent2" w:themeFillShade="BF"/>
        </w:tcPr>
        <w:p w14:paraId="0BF40625" w14:textId="16724EF4" w:rsidR="002E35B2" w:rsidRDefault="002E35B2" w:rsidP="00F3682C">
          <w:pPr>
            <w:pStyle w:val="Footer"/>
            <w:rPr>
              <w:b/>
              <w:bCs/>
              <w:color w:val="FFFFFF" w:themeColor="background1"/>
            </w:rPr>
          </w:pPr>
          <w:r w:rsidRPr="00F3682C">
            <w:rPr>
              <w:b/>
              <w:bCs/>
              <w:color w:val="FFFFFF" w:themeColor="background1"/>
            </w:rPr>
            <w:t xml:space="preserve">                                                                                 </w:t>
          </w:r>
          <w:r>
            <w:rPr>
              <w:b/>
              <w:bCs/>
              <w:color w:val="FFFFFF" w:themeColor="background1"/>
            </w:rPr>
            <w:t xml:space="preserve">              Joseph Brockliss</w:t>
          </w:r>
          <w:r w:rsidRPr="00F3682C">
            <w:rPr>
              <w:b/>
              <w:bCs/>
              <w:color w:val="FFFFFF" w:themeColor="background1"/>
            </w:rPr>
            <w:t xml:space="preserve"> </w:t>
          </w:r>
        </w:p>
        <w:p w14:paraId="74274EFC" w14:textId="2B9C613B" w:rsidR="002E35B2" w:rsidRPr="002E35B2" w:rsidRDefault="002E35B2" w:rsidP="002E35B2">
          <w:pPr>
            <w:tabs>
              <w:tab w:val="left" w:pos="5447"/>
            </w:tabs>
          </w:pPr>
          <w:r>
            <w:tab/>
          </w:r>
        </w:p>
      </w:tc>
    </w:tr>
  </w:tbl>
  <w:p w14:paraId="6E12F719" w14:textId="77777777" w:rsidR="002E35B2" w:rsidRDefault="002E35B2">
    <w:pPr>
      <w:pStyle w:val="Footer"/>
      <w:tabs>
        <w:tab w:val="clear" w:pos="8640"/>
        <w:tab w:val="right" w:pos="9072"/>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A0BF" w14:textId="77777777" w:rsidR="007E5019" w:rsidRDefault="007E5019">
      <w:r>
        <w:separator/>
      </w:r>
    </w:p>
  </w:footnote>
  <w:footnote w:type="continuationSeparator" w:id="0">
    <w:p w14:paraId="30F7B950" w14:textId="77777777" w:rsidR="007E5019" w:rsidRDefault="007E5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35BD" w14:textId="77777777" w:rsidR="00C035A9" w:rsidRDefault="00C035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0811">
      <w:rPr>
        <w:rStyle w:val="PageNumber"/>
        <w:noProof/>
      </w:rPr>
      <w:t>3</w:t>
    </w:r>
    <w:r>
      <w:rPr>
        <w:rStyle w:val="PageNumber"/>
      </w:rPr>
      <w:fldChar w:fldCharType="end"/>
    </w:r>
  </w:p>
  <w:p w14:paraId="37F935BE" w14:textId="77777777" w:rsidR="00C035A9" w:rsidRDefault="00C03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35BF" w14:textId="68138929" w:rsidR="00C035A9" w:rsidRDefault="00C035A9">
    <w:pPr>
      <w:pStyle w:val="Header"/>
      <w:tabs>
        <w:tab w:val="clear" w:pos="4320"/>
        <w:tab w:val="clear" w:pos="8640"/>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6B5DD" w:themeFill="accent2" w:themeFillTint="99"/>
      <w:tblLook w:val="04A0" w:firstRow="1" w:lastRow="0" w:firstColumn="1" w:lastColumn="0" w:noHBand="0" w:noVBand="1"/>
    </w:tblPr>
    <w:tblGrid>
      <w:gridCol w:w="4050"/>
      <w:gridCol w:w="7858"/>
    </w:tblGrid>
    <w:tr w:rsidR="00831C12" w14:paraId="13E1D8B1" w14:textId="77777777" w:rsidTr="00831C12">
      <w:trPr>
        <w:trHeight w:val="1843"/>
      </w:trPr>
      <w:tc>
        <w:tcPr>
          <w:tcW w:w="4050" w:type="dxa"/>
          <w:shd w:val="clear" w:color="auto" w:fill="514DAA" w:themeFill="accent2" w:themeFillShade="BF"/>
        </w:tcPr>
        <w:p w14:paraId="564BFEC2" w14:textId="071A5B9C" w:rsidR="00831C12" w:rsidRPr="00831C12" w:rsidRDefault="00831C12" w:rsidP="00F3682C">
          <w:pPr>
            <w:ind w:left="-1523"/>
          </w:pPr>
          <w:r w:rsidRPr="00831C12">
            <w:rPr>
              <w:noProof/>
            </w:rPr>
            <w:drawing>
              <wp:anchor distT="0" distB="0" distL="114300" distR="114300" simplePos="0" relativeHeight="251658240" behindDoc="1" locked="0" layoutInCell="1" allowOverlap="1" wp14:anchorId="13B21678" wp14:editId="188C60B2">
                <wp:simplePos x="0" y="0"/>
                <wp:positionH relativeFrom="column">
                  <wp:posOffset>166370</wp:posOffset>
                </wp:positionH>
                <wp:positionV relativeFrom="paragraph">
                  <wp:posOffset>219075</wp:posOffset>
                </wp:positionV>
                <wp:extent cx="2257425" cy="767080"/>
                <wp:effectExtent l="0" t="0" r="9525" b="0"/>
                <wp:wrapThrough wrapText="bothSides">
                  <wp:wrapPolygon edited="0">
                    <wp:start x="0" y="0"/>
                    <wp:lineTo x="0" y="20921"/>
                    <wp:lineTo x="21509" y="20921"/>
                    <wp:lineTo x="21509" y="0"/>
                    <wp:lineTo x="0" y="0"/>
                  </wp:wrapPolygon>
                </wp:wrapThrough>
                <wp:docPr id="7087558" name="Picture 708755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7425" cy="767080"/>
                        </a:xfrm>
                        <a:prstGeom prst="rect">
                          <a:avLst/>
                        </a:prstGeom>
                      </pic:spPr>
                    </pic:pic>
                  </a:graphicData>
                </a:graphic>
              </wp:anchor>
            </w:drawing>
          </w:r>
        </w:p>
      </w:tc>
      <w:tc>
        <w:tcPr>
          <w:tcW w:w="7858" w:type="dxa"/>
          <w:shd w:val="clear" w:color="auto" w:fill="514DAA" w:themeFill="accent2" w:themeFillShade="BF"/>
        </w:tcPr>
        <w:p w14:paraId="704A461C" w14:textId="77777777" w:rsidR="00831C12" w:rsidRPr="00831C12" w:rsidRDefault="00831C12">
          <w:pPr>
            <w:rPr>
              <w:rFonts w:asciiTheme="majorHAnsi" w:hAnsiTheme="majorHAnsi" w:cstheme="minorHAnsi"/>
              <w:b/>
              <w:sz w:val="28"/>
              <w:szCs w:val="28"/>
            </w:rPr>
          </w:pPr>
        </w:p>
        <w:p w14:paraId="3E71509C" w14:textId="285FDA3E" w:rsidR="00831C12" w:rsidRPr="00831C12" w:rsidRDefault="00831C12" w:rsidP="00831C12">
          <w:pPr>
            <w:spacing w:line="360" w:lineRule="auto"/>
            <w:rPr>
              <w:rFonts w:asciiTheme="majorHAnsi" w:hAnsiTheme="majorHAnsi" w:cstheme="minorHAnsi"/>
              <w:b/>
              <w:color w:val="FFFFFF" w:themeColor="background1"/>
              <w:sz w:val="26"/>
              <w:szCs w:val="26"/>
            </w:rPr>
          </w:pPr>
          <w:r w:rsidRPr="00831C12">
            <w:rPr>
              <w:rFonts w:asciiTheme="majorHAnsi" w:hAnsiTheme="majorHAnsi" w:cstheme="minorHAnsi"/>
              <w:b/>
              <w:color w:val="FFFFFF" w:themeColor="background1"/>
              <w:sz w:val="26"/>
              <w:szCs w:val="26"/>
            </w:rPr>
            <w:t>New Zealand Postgraduate Development Field Research Award</w:t>
          </w:r>
        </w:p>
        <w:p w14:paraId="26E67DF7" w14:textId="142F03B6" w:rsidR="00831C12" w:rsidRPr="00831C12" w:rsidRDefault="00831C12" w:rsidP="00831C12">
          <w:pPr>
            <w:spacing w:line="360" w:lineRule="auto"/>
            <w:rPr>
              <w:rFonts w:asciiTheme="majorHAnsi" w:hAnsiTheme="majorHAnsi" w:cstheme="minorHAnsi"/>
              <w:b/>
              <w:color w:val="FFFFFF" w:themeColor="background1"/>
              <w:sz w:val="26"/>
              <w:szCs w:val="26"/>
            </w:rPr>
          </w:pPr>
          <w:r w:rsidRPr="00831C12">
            <w:rPr>
              <w:rFonts w:asciiTheme="majorHAnsi" w:hAnsiTheme="majorHAnsi" w:cstheme="minorHAnsi"/>
              <w:b/>
              <w:color w:val="FFFFFF" w:themeColor="background1"/>
              <w:sz w:val="26"/>
              <w:szCs w:val="26"/>
            </w:rPr>
            <w:t>Policy Brief</w:t>
          </w:r>
        </w:p>
        <w:p w14:paraId="3C794892" w14:textId="51BE7824" w:rsidR="00831C12" w:rsidRPr="00831C12" w:rsidRDefault="00831C12" w:rsidP="00831C12">
          <w:pPr>
            <w:spacing w:line="360" w:lineRule="auto"/>
            <w:rPr>
              <w:rFonts w:asciiTheme="majorHAnsi" w:hAnsiTheme="majorHAnsi" w:cstheme="minorHAnsi"/>
              <w:b/>
              <w:sz w:val="24"/>
              <w:szCs w:val="24"/>
            </w:rPr>
          </w:pPr>
          <w:r w:rsidRPr="00831C12">
            <w:rPr>
              <w:rFonts w:asciiTheme="majorHAnsi" w:hAnsiTheme="majorHAnsi" w:cstheme="minorHAnsi"/>
              <w:b/>
              <w:color w:val="FFFFFF" w:themeColor="background1"/>
              <w:sz w:val="26"/>
              <w:szCs w:val="26"/>
            </w:rPr>
            <w:t>202</w:t>
          </w:r>
          <w:r w:rsidR="008915DE">
            <w:rPr>
              <w:rFonts w:asciiTheme="majorHAnsi" w:hAnsiTheme="majorHAnsi" w:cstheme="minorHAnsi"/>
              <w:b/>
              <w:color w:val="FFFFFF" w:themeColor="background1"/>
              <w:sz w:val="26"/>
              <w:szCs w:val="26"/>
            </w:rPr>
            <w:t>5</w:t>
          </w:r>
          <w:r w:rsidRPr="00831C12">
            <w:rPr>
              <w:rFonts w:asciiTheme="majorHAnsi" w:hAnsiTheme="majorHAnsi" w:cstheme="minorHAnsi"/>
              <w:b/>
              <w:color w:val="FFFFFF" w:themeColor="background1"/>
              <w:sz w:val="26"/>
              <w:szCs w:val="26"/>
            </w:rPr>
            <w:t xml:space="preserve"> </w:t>
          </w:r>
        </w:p>
      </w:tc>
    </w:tr>
  </w:tbl>
  <w:p w14:paraId="7F431101" w14:textId="53073D23" w:rsidR="00F20EC1" w:rsidRDefault="00F20EC1" w:rsidP="00831C12">
    <w:pPr>
      <w:pStyle w:val="Header"/>
      <w:tabs>
        <w:tab w:val="clear" w:pos="4320"/>
        <w:tab w:val="clear" w:pos="8640"/>
        <w:tab w:val="center" w:pos="4536"/>
        <w:tab w:val="right" w:pos="90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648F" w14:textId="77777777" w:rsidR="002E35B2" w:rsidRDefault="002E35B2">
    <w:pPr>
      <w:pStyle w:val="Header"/>
      <w:tabs>
        <w:tab w:val="clear" w:pos="4320"/>
        <w:tab w:val="clear" w:pos="8640"/>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D7A9" w14:textId="045935A8" w:rsidR="00B90C33" w:rsidRDefault="00B90C33">
    <w:pPr>
      <w:pStyle w:val="Header"/>
      <w:tabs>
        <w:tab w:val="clear" w:pos="4320"/>
        <w:tab w:val="clear" w:pos="8640"/>
        <w:tab w:val="center" w:pos="4680"/>
        <w:tab w:val="right" w:pos="9360"/>
      </w:tabs>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A2061"/>
    <w:multiLevelType w:val="hybridMultilevel"/>
    <w:tmpl w:val="79CE74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0CB6EB1"/>
    <w:multiLevelType w:val="singleLevel"/>
    <w:tmpl w:val="EC284236"/>
    <w:lvl w:ilvl="0">
      <w:start w:val="1"/>
      <w:numFmt w:val="bullet"/>
      <w:pStyle w:val="BulletText3"/>
      <w:lvlText w:val=""/>
      <w:lvlJc w:val="left"/>
      <w:pPr>
        <w:tabs>
          <w:tab w:val="num" w:pos="794"/>
        </w:tabs>
        <w:ind w:left="794" w:hanging="397"/>
      </w:pPr>
      <w:rPr>
        <w:rFonts w:ascii="Symbol" w:hAnsi="Symbol" w:hint="default"/>
        <w:color w:val="008080"/>
      </w:rPr>
    </w:lvl>
  </w:abstractNum>
  <w:abstractNum w:abstractNumId="3" w15:restartNumberingAfterBreak="0">
    <w:nsid w:val="1AA55523"/>
    <w:multiLevelType w:val="multilevel"/>
    <w:tmpl w:val="ECB8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F35F0"/>
    <w:multiLevelType w:val="hybridMultilevel"/>
    <w:tmpl w:val="CE6EC7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F5250CE"/>
    <w:multiLevelType w:val="hybridMultilevel"/>
    <w:tmpl w:val="D9FC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423F7"/>
    <w:multiLevelType w:val="hybridMultilevel"/>
    <w:tmpl w:val="E8128796"/>
    <w:lvl w:ilvl="0" w:tplc="B19AE3A4">
      <w:start w:val="1"/>
      <w:numFmt w:val="bullet"/>
      <w:pStyle w:val="BulletText2"/>
      <w:lvlText w:val=""/>
      <w:lvlJc w:val="left"/>
      <w:pPr>
        <w:tabs>
          <w:tab w:val="num" w:pos="397"/>
        </w:tabs>
        <w:ind w:left="397" w:hanging="397"/>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2C0D51"/>
    <w:multiLevelType w:val="singleLevel"/>
    <w:tmpl w:val="ED6027D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913EF9"/>
    <w:multiLevelType w:val="multilevel"/>
    <w:tmpl w:val="524C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67B70"/>
    <w:multiLevelType w:val="hybridMultilevel"/>
    <w:tmpl w:val="B4BAE5A6"/>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0" w15:restartNumberingAfterBreak="0">
    <w:nsid w:val="409D76EF"/>
    <w:multiLevelType w:val="hybridMultilevel"/>
    <w:tmpl w:val="12B619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44DD2520"/>
    <w:multiLevelType w:val="multilevel"/>
    <w:tmpl w:val="D520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9D3116"/>
    <w:multiLevelType w:val="multilevel"/>
    <w:tmpl w:val="F558B684"/>
    <w:lvl w:ilvl="0">
      <w:start w:val="1"/>
      <w:numFmt w:val="bullet"/>
      <w:pStyle w:val="BulletPoints"/>
      <w:lvlText w:val=""/>
      <w:lvlJc w:val="left"/>
      <w:pPr>
        <w:tabs>
          <w:tab w:val="num" w:pos="720"/>
        </w:tabs>
        <w:ind w:left="720" w:hanging="72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361"/>
        </w:tabs>
        <w:ind w:left="1361" w:hanging="641"/>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928"/>
        </w:tabs>
        <w:ind w:left="1928"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95"/>
        </w:tabs>
        <w:ind w:left="2495" w:hanging="567"/>
      </w:pPr>
      <w:rPr>
        <w:rFonts w:ascii="Symbol" w:hAnsi="Symbol" w:hint="default"/>
        <w:b w:val="0"/>
        <w:i w:val="0"/>
        <w:sz w:val="16"/>
      </w:rPr>
    </w:lvl>
    <w:lvl w:ilvl="4">
      <w:start w:val="1"/>
      <w:numFmt w:val="bullet"/>
      <w:lvlText w:val="o"/>
      <w:lvlJc w:val="left"/>
      <w:pPr>
        <w:tabs>
          <w:tab w:val="num" w:pos="7200"/>
        </w:tabs>
        <w:ind w:left="7200" w:hanging="360"/>
      </w:pPr>
      <w:rPr>
        <w:rFonts w:ascii="Courier New" w:hAnsi="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13"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14" w15:restartNumberingAfterBreak="0">
    <w:nsid w:val="5FF61BFB"/>
    <w:multiLevelType w:val="multilevel"/>
    <w:tmpl w:val="6024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1177F0"/>
    <w:multiLevelType w:val="multilevel"/>
    <w:tmpl w:val="12BA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984AD2"/>
    <w:multiLevelType w:val="hybridMultilevel"/>
    <w:tmpl w:val="3BA0F7D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 w15:restartNumberingAfterBreak="0">
    <w:nsid w:val="73DB5B41"/>
    <w:multiLevelType w:val="hybridMultilevel"/>
    <w:tmpl w:val="0FAEE5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7BA708E2"/>
    <w:multiLevelType w:val="multilevel"/>
    <w:tmpl w:val="EFA8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B56409"/>
    <w:multiLevelType w:val="multilevel"/>
    <w:tmpl w:val="0AEA1B48"/>
    <w:lvl w:ilvl="0">
      <w:start w:val="1"/>
      <w:numFmt w:val="none"/>
      <w:lvlText w:val=""/>
      <w:legacy w:legacy="1" w:legacySpace="0" w:legacyIndent="0"/>
      <w:lvlJc w:val="left"/>
    </w:lvl>
    <w:lvl w:ilvl="1">
      <w:start w:val="1"/>
      <w:numFmt w:val="decimal"/>
      <w:lvlText w:val="%2."/>
      <w:lvlJc w:val="left"/>
      <w:pPr>
        <w:tabs>
          <w:tab w:val="num" w:pos="360"/>
        </w:tabs>
        <w:ind w:left="360" w:hanging="360"/>
      </w:pPr>
      <w:rPr>
        <w:rFonts w:hint="default"/>
      </w:rPr>
    </w:lvl>
    <w:lvl w:ilvl="2">
      <w:start w:val="1"/>
      <w:numFmt w:val="lowerLetter"/>
      <w:lvlText w:val="%3"/>
      <w:legacy w:legacy="1" w:legacySpace="0" w:legacyIndent="709"/>
      <w:lvlJc w:val="left"/>
      <w:pPr>
        <w:ind w:left="709" w:hanging="709"/>
      </w:pPr>
    </w:lvl>
    <w:lvl w:ilvl="3">
      <w:start w:val="1"/>
      <w:numFmt w:val="lowerRoman"/>
      <w:lvlText w:val="%4"/>
      <w:legacy w:legacy="1" w:legacySpace="0" w:legacyIndent="709"/>
      <w:lvlJc w:val="left"/>
      <w:pPr>
        <w:ind w:left="1418" w:hanging="709"/>
      </w:pPr>
    </w:lvl>
    <w:lvl w:ilvl="4">
      <w:start w:val="1"/>
      <w:numFmt w:val="none"/>
      <w:lvlText w:val="·"/>
      <w:legacy w:legacy="1" w:legacySpace="0" w:legacyIndent="709"/>
      <w:lvlJc w:val="left"/>
      <w:pPr>
        <w:ind w:left="2127" w:hanging="709"/>
      </w:pPr>
    </w:lvl>
    <w:lvl w:ilvl="5">
      <w:start w:val="1"/>
      <w:numFmt w:val="none"/>
      <w:lvlText w:val="-"/>
      <w:legacy w:legacy="1" w:legacySpace="0" w:legacyIndent="709"/>
      <w:lvlJc w:val="left"/>
      <w:pPr>
        <w:ind w:left="2836" w:hanging="709"/>
      </w:pPr>
    </w:lvl>
    <w:lvl w:ilvl="6">
      <w:start w:val="1"/>
      <w:numFmt w:val="none"/>
      <w:lvlText w:val=""/>
      <w:legacy w:legacy="1" w:legacySpace="0" w:legacyIndent="709"/>
      <w:lvlJc w:val="left"/>
      <w:pPr>
        <w:ind w:left="3545" w:hanging="709"/>
      </w:pPr>
    </w:lvl>
    <w:lvl w:ilvl="7">
      <w:start w:val="1"/>
      <w:numFmt w:val="none"/>
      <w:lvlText w:val=""/>
      <w:legacy w:legacy="1" w:legacySpace="0" w:legacyIndent="709"/>
      <w:lvlJc w:val="left"/>
      <w:pPr>
        <w:ind w:left="4254" w:hanging="709"/>
      </w:pPr>
    </w:lvl>
    <w:lvl w:ilvl="8">
      <w:start w:val="1"/>
      <w:numFmt w:val="none"/>
      <w:lvlText w:val=""/>
      <w:legacy w:legacy="1" w:legacySpace="0" w:legacyIndent="709"/>
      <w:lvlJc w:val="left"/>
      <w:pPr>
        <w:ind w:left="4963" w:hanging="709"/>
      </w:pPr>
    </w:lvl>
  </w:abstractNum>
  <w:abstractNum w:abstractNumId="20" w15:restartNumberingAfterBreak="0">
    <w:nsid w:val="7DD81B5D"/>
    <w:multiLevelType w:val="hybridMultilevel"/>
    <w:tmpl w:val="F54AE0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628393281">
    <w:abstractNumId w:val="13"/>
  </w:num>
  <w:num w:numId="2" w16cid:durableId="1127118208">
    <w:abstractNumId w:val="13"/>
  </w:num>
  <w:num w:numId="3" w16cid:durableId="722751457">
    <w:abstractNumId w:val="0"/>
    <w:lvlOverride w:ilvl="0">
      <w:lvl w:ilvl="0">
        <w:start w:val="1"/>
        <w:numFmt w:val="bullet"/>
        <w:lvlText w:val="-"/>
        <w:legacy w:legacy="1" w:legacySpace="0" w:legacyIndent="187"/>
        <w:lvlJc w:val="left"/>
        <w:pPr>
          <w:ind w:left="360" w:hanging="187"/>
        </w:pPr>
        <w:rPr>
          <w:rFonts w:ascii="Times New Roman" w:hAnsi="Times New Roman" w:hint="default"/>
          <w:sz w:val="24"/>
        </w:rPr>
      </w:lvl>
    </w:lvlOverride>
  </w:num>
  <w:num w:numId="4" w16cid:durableId="1789665280">
    <w:abstractNumId w:val="7"/>
  </w:num>
  <w:num w:numId="5" w16cid:durableId="1565530632">
    <w:abstractNumId w:val="0"/>
    <w:lvlOverride w:ilvl="0">
      <w:lvl w:ilvl="0">
        <w:start w:val="1"/>
        <w:numFmt w:val="bullet"/>
        <w:lvlText w:val="·"/>
        <w:legacy w:legacy="1" w:legacySpace="0" w:legacyIndent="187"/>
        <w:lvlJc w:val="left"/>
        <w:pPr>
          <w:ind w:left="360" w:hanging="187"/>
        </w:pPr>
        <w:rPr>
          <w:rFonts w:ascii="Symbol" w:hAnsi="Symbol" w:hint="default"/>
          <w:sz w:val="20"/>
        </w:rPr>
      </w:lvl>
    </w:lvlOverride>
  </w:num>
  <w:num w:numId="6" w16cid:durableId="1132139141">
    <w:abstractNumId w:val="0"/>
    <w:lvlOverride w:ilvl="0">
      <w:lvl w:ilvl="0">
        <w:start w:val="1"/>
        <w:numFmt w:val="bullet"/>
        <w:lvlText w:val="·"/>
        <w:legacy w:legacy="1" w:legacySpace="0" w:legacyIndent="187"/>
        <w:lvlJc w:val="left"/>
        <w:pPr>
          <w:ind w:left="360" w:hanging="187"/>
        </w:pPr>
        <w:rPr>
          <w:rFonts w:ascii="Arial" w:hAnsi="Arial" w:hint="default"/>
          <w:sz w:val="20"/>
        </w:rPr>
      </w:lvl>
    </w:lvlOverride>
  </w:num>
  <w:num w:numId="7" w16cid:durableId="978002402">
    <w:abstractNumId w:val="2"/>
  </w:num>
  <w:num w:numId="8" w16cid:durableId="1597327647">
    <w:abstractNumId w:val="6"/>
  </w:num>
  <w:num w:numId="9" w16cid:durableId="39285226">
    <w:abstractNumId w:val="6"/>
  </w:num>
  <w:num w:numId="10" w16cid:durableId="616184784">
    <w:abstractNumId w:val="12"/>
  </w:num>
  <w:num w:numId="11" w16cid:durableId="1418206731">
    <w:abstractNumId w:val="19"/>
  </w:num>
  <w:num w:numId="12" w16cid:durableId="1120684704">
    <w:abstractNumId w:val="12"/>
  </w:num>
  <w:num w:numId="13" w16cid:durableId="105854689">
    <w:abstractNumId w:val="12"/>
  </w:num>
  <w:num w:numId="14" w16cid:durableId="1345746380">
    <w:abstractNumId w:val="16"/>
  </w:num>
  <w:num w:numId="15" w16cid:durableId="1291666831">
    <w:abstractNumId w:val="9"/>
  </w:num>
  <w:num w:numId="16" w16cid:durableId="1933005826">
    <w:abstractNumId w:val="12"/>
  </w:num>
  <w:num w:numId="17" w16cid:durableId="389691328">
    <w:abstractNumId w:val="1"/>
  </w:num>
  <w:num w:numId="18" w16cid:durableId="2071490570">
    <w:abstractNumId w:val="17"/>
  </w:num>
  <w:num w:numId="19" w16cid:durableId="894854224">
    <w:abstractNumId w:val="4"/>
  </w:num>
  <w:num w:numId="20" w16cid:durableId="1534922000">
    <w:abstractNumId w:val="10"/>
  </w:num>
  <w:num w:numId="21" w16cid:durableId="520358308">
    <w:abstractNumId w:val="20"/>
  </w:num>
  <w:num w:numId="22" w16cid:durableId="1219779493">
    <w:abstractNumId w:val="5"/>
  </w:num>
  <w:num w:numId="23" w16cid:durableId="1247568774">
    <w:abstractNumId w:val="8"/>
  </w:num>
  <w:num w:numId="24" w16cid:durableId="986782005">
    <w:abstractNumId w:val="3"/>
  </w:num>
  <w:num w:numId="25" w16cid:durableId="2107116250">
    <w:abstractNumId w:val="11"/>
  </w:num>
  <w:num w:numId="26" w16cid:durableId="1922444216">
    <w:abstractNumId w:val="18"/>
  </w:num>
  <w:num w:numId="27" w16cid:durableId="1361123615">
    <w:abstractNumId w:val="14"/>
  </w:num>
  <w:num w:numId="28" w16cid:durableId="5929046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zNDUzMTY0MjEyNzBX0lEKTi0uzszPAymwrAUAZHPU9SwAAAA="/>
    <w:docVar w:name="dvFooter" w:val="2641964v1"/>
    <w:docVar w:name="paperpile-doc-id" w:val="L638Z985O376S199"/>
    <w:docVar w:name="paperpile-doc-name" w:val="Policy Brief Template_.docx"/>
  </w:docVars>
  <w:rsids>
    <w:rsidRoot w:val="00DD496C"/>
    <w:rsid w:val="00000712"/>
    <w:rsid w:val="000035A6"/>
    <w:rsid w:val="00006F04"/>
    <w:rsid w:val="000222DB"/>
    <w:rsid w:val="00030BC4"/>
    <w:rsid w:val="00036305"/>
    <w:rsid w:val="0004325F"/>
    <w:rsid w:val="00043E86"/>
    <w:rsid w:val="00045331"/>
    <w:rsid w:val="00047CA5"/>
    <w:rsid w:val="00055EF1"/>
    <w:rsid w:val="00057DE3"/>
    <w:rsid w:val="00060130"/>
    <w:rsid w:val="00070DD4"/>
    <w:rsid w:val="00083575"/>
    <w:rsid w:val="00090811"/>
    <w:rsid w:val="00092CC5"/>
    <w:rsid w:val="00093F56"/>
    <w:rsid w:val="00093F7D"/>
    <w:rsid w:val="00096C50"/>
    <w:rsid w:val="000B1186"/>
    <w:rsid w:val="000C6855"/>
    <w:rsid w:val="000E4059"/>
    <w:rsid w:val="000E4EB6"/>
    <w:rsid w:val="00102E2E"/>
    <w:rsid w:val="00111DA2"/>
    <w:rsid w:val="001161FF"/>
    <w:rsid w:val="00117A0D"/>
    <w:rsid w:val="00127EF5"/>
    <w:rsid w:val="00131BA0"/>
    <w:rsid w:val="00135366"/>
    <w:rsid w:val="00165486"/>
    <w:rsid w:val="00183B8D"/>
    <w:rsid w:val="00197303"/>
    <w:rsid w:val="001C3A5C"/>
    <w:rsid w:val="001F200D"/>
    <w:rsid w:val="00213EB4"/>
    <w:rsid w:val="0024108F"/>
    <w:rsid w:val="00244A5F"/>
    <w:rsid w:val="002505FD"/>
    <w:rsid w:val="00260726"/>
    <w:rsid w:val="0027709C"/>
    <w:rsid w:val="00294565"/>
    <w:rsid w:val="002B30C9"/>
    <w:rsid w:val="002C62AA"/>
    <w:rsid w:val="002C70F6"/>
    <w:rsid w:val="002C7FC3"/>
    <w:rsid w:val="002D1DBA"/>
    <w:rsid w:val="002D4231"/>
    <w:rsid w:val="002E35B2"/>
    <w:rsid w:val="00306641"/>
    <w:rsid w:val="003139A2"/>
    <w:rsid w:val="00326B32"/>
    <w:rsid w:val="003275F9"/>
    <w:rsid w:val="00334000"/>
    <w:rsid w:val="00340EF9"/>
    <w:rsid w:val="00347848"/>
    <w:rsid w:val="0035211C"/>
    <w:rsid w:val="00365C27"/>
    <w:rsid w:val="00370301"/>
    <w:rsid w:val="00371B93"/>
    <w:rsid w:val="00383BCD"/>
    <w:rsid w:val="00386C7D"/>
    <w:rsid w:val="003879C6"/>
    <w:rsid w:val="00390607"/>
    <w:rsid w:val="0039436B"/>
    <w:rsid w:val="003A0958"/>
    <w:rsid w:val="003A53C4"/>
    <w:rsid w:val="003D6913"/>
    <w:rsid w:val="00427BBB"/>
    <w:rsid w:val="00433D6B"/>
    <w:rsid w:val="00435B05"/>
    <w:rsid w:val="0043715A"/>
    <w:rsid w:val="004413A5"/>
    <w:rsid w:val="00450B0C"/>
    <w:rsid w:val="0046358C"/>
    <w:rsid w:val="00473FD8"/>
    <w:rsid w:val="004806D7"/>
    <w:rsid w:val="00484853"/>
    <w:rsid w:val="0049664E"/>
    <w:rsid w:val="00497F44"/>
    <w:rsid w:val="004C1610"/>
    <w:rsid w:val="004C1D99"/>
    <w:rsid w:val="004D0DD7"/>
    <w:rsid w:val="004F0674"/>
    <w:rsid w:val="004F283E"/>
    <w:rsid w:val="004F4E36"/>
    <w:rsid w:val="00504226"/>
    <w:rsid w:val="00511A84"/>
    <w:rsid w:val="0054302F"/>
    <w:rsid w:val="00560053"/>
    <w:rsid w:val="005623E3"/>
    <w:rsid w:val="00581AD2"/>
    <w:rsid w:val="00594E0D"/>
    <w:rsid w:val="0059671F"/>
    <w:rsid w:val="005A5513"/>
    <w:rsid w:val="005D18DF"/>
    <w:rsid w:val="005D37FC"/>
    <w:rsid w:val="005D4958"/>
    <w:rsid w:val="005F66B9"/>
    <w:rsid w:val="0060160A"/>
    <w:rsid w:val="006344A5"/>
    <w:rsid w:val="00634917"/>
    <w:rsid w:val="006356E9"/>
    <w:rsid w:val="00642B97"/>
    <w:rsid w:val="00657B11"/>
    <w:rsid w:val="00676327"/>
    <w:rsid w:val="00677C77"/>
    <w:rsid w:val="006859B9"/>
    <w:rsid w:val="00685A13"/>
    <w:rsid w:val="006A03B1"/>
    <w:rsid w:val="006A1EA5"/>
    <w:rsid w:val="006B1CA0"/>
    <w:rsid w:val="006D384D"/>
    <w:rsid w:val="006E63B2"/>
    <w:rsid w:val="006F3B38"/>
    <w:rsid w:val="00716971"/>
    <w:rsid w:val="00745A29"/>
    <w:rsid w:val="00745C41"/>
    <w:rsid w:val="00757E32"/>
    <w:rsid w:val="00761556"/>
    <w:rsid w:val="00774CA4"/>
    <w:rsid w:val="00785559"/>
    <w:rsid w:val="007902EF"/>
    <w:rsid w:val="007A110D"/>
    <w:rsid w:val="007A7DAC"/>
    <w:rsid w:val="007E5019"/>
    <w:rsid w:val="007F49F4"/>
    <w:rsid w:val="008016E1"/>
    <w:rsid w:val="00817348"/>
    <w:rsid w:val="00831C12"/>
    <w:rsid w:val="00862AEC"/>
    <w:rsid w:val="008915DE"/>
    <w:rsid w:val="00891FD1"/>
    <w:rsid w:val="008C3966"/>
    <w:rsid w:val="008F362D"/>
    <w:rsid w:val="00902EA0"/>
    <w:rsid w:val="00921C97"/>
    <w:rsid w:val="00930817"/>
    <w:rsid w:val="0093277B"/>
    <w:rsid w:val="00943751"/>
    <w:rsid w:val="0094536D"/>
    <w:rsid w:val="009618AF"/>
    <w:rsid w:val="00971097"/>
    <w:rsid w:val="00973F95"/>
    <w:rsid w:val="00980E39"/>
    <w:rsid w:val="00985EA7"/>
    <w:rsid w:val="009912BB"/>
    <w:rsid w:val="00992E76"/>
    <w:rsid w:val="00994FB7"/>
    <w:rsid w:val="00997ED7"/>
    <w:rsid w:val="009A62E4"/>
    <w:rsid w:val="009A69CC"/>
    <w:rsid w:val="009B098C"/>
    <w:rsid w:val="009D6C4B"/>
    <w:rsid w:val="009E4D13"/>
    <w:rsid w:val="00A052F7"/>
    <w:rsid w:val="00A06043"/>
    <w:rsid w:val="00A13FA2"/>
    <w:rsid w:val="00A21221"/>
    <w:rsid w:val="00A44B66"/>
    <w:rsid w:val="00A467FA"/>
    <w:rsid w:val="00A477AD"/>
    <w:rsid w:val="00A62056"/>
    <w:rsid w:val="00A770F8"/>
    <w:rsid w:val="00A91290"/>
    <w:rsid w:val="00A968B0"/>
    <w:rsid w:val="00A96BBA"/>
    <w:rsid w:val="00AA47A0"/>
    <w:rsid w:val="00AA704D"/>
    <w:rsid w:val="00AB2363"/>
    <w:rsid w:val="00AC3B1B"/>
    <w:rsid w:val="00AC4EA9"/>
    <w:rsid w:val="00AC79D2"/>
    <w:rsid w:val="00AE14F6"/>
    <w:rsid w:val="00AE7F92"/>
    <w:rsid w:val="00AF3273"/>
    <w:rsid w:val="00B106D7"/>
    <w:rsid w:val="00B2151E"/>
    <w:rsid w:val="00B2230B"/>
    <w:rsid w:val="00B3724E"/>
    <w:rsid w:val="00B5590D"/>
    <w:rsid w:val="00B657E6"/>
    <w:rsid w:val="00B66FEE"/>
    <w:rsid w:val="00B704AF"/>
    <w:rsid w:val="00B80B23"/>
    <w:rsid w:val="00B90C33"/>
    <w:rsid w:val="00BB0314"/>
    <w:rsid w:val="00BC6007"/>
    <w:rsid w:val="00C035A9"/>
    <w:rsid w:val="00C07AC7"/>
    <w:rsid w:val="00C46F1D"/>
    <w:rsid w:val="00C50DB9"/>
    <w:rsid w:val="00C60DCC"/>
    <w:rsid w:val="00C7068B"/>
    <w:rsid w:val="00C84BBF"/>
    <w:rsid w:val="00C90579"/>
    <w:rsid w:val="00C96608"/>
    <w:rsid w:val="00CA77F6"/>
    <w:rsid w:val="00CE2E75"/>
    <w:rsid w:val="00CE656F"/>
    <w:rsid w:val="00CF05B4"/>
    <w:rsid w:val="00D02F72"/>
    <w:rsid w:val="00D0554C"/>
    <w:rsid w:val="00D21E9F"/>
    <w:rsid w:val="00D47C34"/>
    <w:rsid w:val="00D6312A"/>
    <w:rsid w:val="00DB73AC"/>
    <w:rsid w:val="00DC7314"/>
    <w:rsid w:val="00DD2291"/>
    <w:rsid w:val="00DD496C"/>
    <w:rsid w:val="00DE19B2"/>
    <w:rsid w:val="00E1343C"/>
    <w:rsid w:val="00E14346"/>
    <w:rsid w:val="00E15336"/>
    <w:rsid w:val="00E157BB"/>
    <w:rsid w:val="00E527BC"/>
    <w:rsid w:val="00E75BAA"/>
    <w:rsid w:val="00EA1FA9"/>
    <w:rsid w:val="00EA6E1E"/>
    <w:rsid w:val="00EB1A13"/>
    <w:rsid w:val="00EB6B3E"/>
    <w:rsid w:val="00EC4D24"/>
    <w:rsid w:val="00ED4358"/>
    <w:rsid w:val="00F07961"/>
    <w:rsid w:val="00F20EC1"/>
    <w:rsid w:val="00F3616E"/>
    <w:rsid w:val="00F3682C"/>
    <w:rsid w:val="00F375C1"/>
    <w:rsid w:val="00F41734"/>
    <w:rsid w:val="00F42E64"/>
    <w:rsid w:val="00F55AC3"/>
    <w:rsid w:val="00F57A3C"/>
    <w:rsid w:val="00F7569A"/>
    <w:rsid w:val="00F91137"/>
    <w:rsid w:val="00FB2AB3"/>
    <w:rsid w:val="00FC5D02"/>
    <w:rsid w:val="00FF0A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93454"/>
  <w15:docId w15:val="{19863F28-C8CC-423E-8284-8FB9EA9C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lang w:eastAsia="en-US"/>
    </w:rPr>
  </w:style>
  <w:style w:type="paragraph" w:styleId="Heading1">
    <w:name w:val="heading 1"/>
    <w:aliases w:val="Part"/>
    <w:basedOn w:val="Normal"/>
    <w:next w:val="Heading2"/>
    <w:qFormat/>
    <w:pPr>
      <w:spacing w:after="240"/>
      <w:jc w:val="center"/>
      <w:outlineLvl w:val="0"/>
    </w:pPr>
    <w:rPr>
      <w:rFonts w:ascii="Arial" w:hAnsi="Arial"/>
      <w:b/>
      <w:color w:val="5F5F5F"/>
      <w:sz w:val="32"/>
    </w:rPr>
  </w:style>
  <w:style w:type="paragraph" w:styleId="Heading2">
    <w:name w:val="heading 2"/>
    <w:aliases w:val="Chapter Title"/>
    <w:basedOn w:val="Heading4"/>
    <w:next w:val="Heading4"/>
    <w:qFormat/>
    <w:rsid w:val="00F20EC1"/>
    <w:pPr>
      <w:outlineLvl w:val="1"/>
    </w:pPr>
  </w:style>
  <w:style w:type="paragraph" w:styleId="Heading3">
    <w:name w:val="heading 3"/>
    <w:aliases w:val="Section"/>
    <w:basedOn w:val="Normal"/>
    <w:next w:val="Heading4"/>
    <w:qFormat/>
    <w:pPr>
      <w:spacing w:after="240"/>
      <w:jc w:val="center"/>
      <w:outlineLvl w:val="2"/>
    </w:pPr>
    <w:rPr>
      <w:rFonts w:ascii="Arial" w:hAnsi="Arial"/>
      <w:b/>
      <w:color w:val="006600"/>
      <w:sz w:val="32"/>
    </w:rPr>
  </w:style>
  <w:style w:type="paragraph" w:styleId="Heading4">
    <w:name w:val="heading 4"/>
    <w:aliases w:val="Map Title"/>
    <w:basedOn w:val="Normal"/>
    <w:next w:val="Normal"/>
    <w:qFormat/>
    <w:pPr>
      <w:spacing w:after="240"/>
      <w:outlineLvl w:val="3"/>
    </w:pPr>
    <w:rPr>
      <w:rFonts w:ascii="Arial" w:hAnsi="Arial"/>
      <w:b/>
      <w:color w:val="006600"/>
      <w:sz w:val="32"/>
    </w:rPr>
  </w:style>
  <w:style w:type="paragraph" w:styleId="Heading5">
    <w:name w:val="heading 5"/>
    <w:aliases w:val="Block Label"/>
    <w:basedOn w:val="Normal"/>
    <w:next w:val="Normal"/>
    <w:qFormat/>
    <w:pPr>
      <w:outlineLvl w:val="4"/>
    </w:pPr>
    <w:rPr>
      <w:rFonts w:ascii="Arial" w:hAnsi="Arial"/>
      <w:b/>
      <w:color w:val="000080"/>
    </w:r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customStyle="1" w:styleId="BlockLine">
    <w:name w:val="Block Line"/>
    <w:basedOn w:val="Normal"/>
    <w:next w:val="Normal"/>
    <w:pPr>
      <w:pBdr>
        <w:top w:val="single" w:sz="6" w:space="1" w:color="008080"/>
        <w:between w:val="single" w:sz="6" w:space="1" w:color="auto"/>
      </w:pBdr>
      <w:spacing w:before="240"/>
      <w:ind w:left="1700"/>
    </w:pPr>
  </w:style>
  <w:style w:type="paragraph" w:styleId="BlockText">
    <w:name w:val="Block Text"/>
    <w:basedOn w:val="Normal"/>
  </w:style>
  <w:style w:type="paragraph" w:customStyle="1" w:styleId="BulletText1">
    <w:name w:val="Bullet Text 1"/>
    <w:basedOn w:val="Normal"/>
    <w:pPr>
      <w:numPr>
        <w:numId w:val="2"/>
      </w:numPr>
      <w:tabs>
        <w:tab w:val="clear" w:pos="397"/>
      </w:tabs>
    </w:pPr>
  </w:style>
  <w:style w:type="paragraph" w:customStyle="1" w:styleId="BulletText2">
    <w:name w:val="Bullet Text 2"/>
    <w:basedOn w:val="BulletText1"/>
    <w:pPr>
      <w:numPr>
        <w:numId w:val="9"/>
      </w:numPr>
      <w:spacing w:before="120"/>
    </w:pPr>
  </w:style>
  <w:style w:type="paragraph" w:customStyle="1" w:styleId="ContinuedOnNextPa">
    <w:name w:val="Continued On Next Pa"/>
    <w:basedOn w:val="Normal"/>
    <w:next w:val="Normal"/>
    <w:pPr>
      <w:pBdr>
        <w:top w:val="single" w:sz="6" w:space="1" w:color="008080"/>
        <w:between w:val="single" w:sz="6" w:space="1" w:color="auto"/>
      </w:pBdr>
      <w:ind w:left="1700"/>
      <w:jc w:val="right"/>
    </w:pPr>
    <w:rPr>
      <w:rFonts w:ascii="Times New Roman" w:hAnsi="Times New Roman"/>
      <w:i/>
      <w:sz w:val="20"/>
    </w:rPr>
  </w:style>
  <w:style w:type="paragraph" w:customStyle="1" w:styleId="ContinuedTableLabe">
    <w:name w:val="Continued Table Labe"/>
    <w:basedOn w:val="Normal"/>
    <w:rPr>
      <w:rFonts w:ascii="Arial" w:hAnsi="Arial"/>
      <w:color w:val="000080"/>
    </w:rPr>
  </w:style>
  <w:style w:type="paragraph" w:customStyle="1" w:styleId="MapTitleContinued">
    <w:name w:val="Map Title. Continued"/>
    <w:basedOn w:val="Normal"/>
    <w:pPr>
      <w:spacing w:after="240"/>
    </w:pPr>
    <w:rPr>
      <w:rFonts w:ascii="Arial" w:hAnsi="Arial"/>
      <w:b/>
      <w:color w:val="006600"/>
      <w:sz w:val="32"/>
    </w:rPr>
  </w:style>
  <w:style w:type="paragraph" w:customStyle="1" w:styleId="MemoLine">
    <w:name w:val="Memo Line"/>
    <w:basedOn w:val="BlockLine"/>
    <w:next w:val="Normal"/>
    <w:pPr>
      <w:ind w:left="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bleText">
    <w:name w:val="Table Text"/>
    <w:basedOn w:val="Normal"/>
    <w:pPr>
      <w:spacing w:before="20" w:after="20"/>
    </w:pPr>
  </w:style>
  <w:style w:type="paragraph" w:customStyle="1" w:styleId="NoteText">
    <w:name w:val="Note Text"/>
    <w:basedOn w:val="BlockText"/>
  </w:style>
  <w:style w:type="paragraph" w:customStyle="1" w:styleId="TableHeaderText">
    <w:name w:val="Table Header Text"/>
    <w:basedOn w:val="TableText"/>
    <w:pPr>
      <w:spacing w:before="60" w:after="60"/>
      <w:jc w:val="center"/>
    </w:pPr>
    <w:rPr>
      <w:b/>
      <w:color w:val="006666"/>
    </w:rPr>
  </w:style>
  <w:style w:type="paragraph" w:customStyle="1" w:styleId="EmbeddedText">
    <w:name w:val="Embedded Text"/>
    <w:basedOn w:val="TableText"/>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rFonts w:ascii="Tahoma" w:hAnsi="Tahoma"/>
      <w:color w:val="3333CC"/>
      <w:sz w:val="22"/>
      <w:u w:val="single"/>
    </w:rPr>
  </w:style>
  <w:style w:type="paragraph" w:customStyle="1" w:styleId="BulletText3">
    <w:name w:val="Bullet Text 3"/>
    <w:basedOn w:val="BulletText2"/>
    <w:pPr>
      <w:numPr>
        <w:numId w:val="7"/>
      </w:numPr>
      <w:spacing w:before="60"/>
    </w:pPr>
  </w:style>
  <w:style w:type="character" w:styleId="FollowedHyperlink">
    <w:name w:val="FollowedHyperlink"/>
    <w:rPr>
      <w:rFonts w:ascii="Tahoma" w:hAnsi="Tahoma"/>
      <w:color w:val="339966"/>
      <w:sz w:val="22"/>
      <w:u w:val="single"/>
    </w:rPr>
  </w:style>
  <w:style w:type="paragraph" w:customStyle="1" w:styleId="BulletPoints">
    <w:name w:val="Bullet Points"/>
    <w:basedOn w:val="Normal"/>
    <w:rsid w:val="00386C7D"/>
    <w:pPr>
      <w:numPr>
        <w:numId w:val="10"/>
      </w:numPr>
      <w:overflowPunct w:val="0"/>
      <w:autoSpaceDE w:val="0"/>
      <w:autoSpaceDN w:val="0"/>
      <w:adjustRightInd w:val="0"/>
      <w:spacing w:after="240"/>
      <w:jc w:val="both"/>
      <w:textAlignment w:val="baseline"/>
    </w:pPr>
    <w:rPr>
      <w:rFonts w:ascii="Arial" w:hAnsi="Arial"/>
      <w:sz w:val="24"/>
      <w:lang w:bidi="ar-DZ"/>
    </w:rPr>
  </w:style>
  <w:style w:type="paragraph" w:styleId="BalloonText">
    <w:name w:val="Balloon Text"/>
    <w:basedOn w:val="Normal"/>
    <w:link w:val="BalloonTextChar"/>
    <w:rsid w:val="0094536D"/>
    <w:rPr>
      <w:rFonts w:cs="Tahoma"/>
      <w:sz w:val="16"/>
      <w:szCs w:val="16"/>
    </w:rPr>
  </w:style>
  <w:style w:type="character" w:customStyle="1" w:styleId="BalloonTextChar">
    <w:name w:val="Balloon Text Char"/>
    <w:link w:val="BalloonText"/>
    <w:rsid w:val="0094536D"/>
    <w:rPr>
      <w:rFonts w:ascii="Tahoma" w:hAnsi="Tahoma" w:cs="Tahoma"/>
      <w:sz w:val="16"/>
      <w:szCs w:val="16"/>
      <w:lang w:eastAsia="en-US"/>
    </w:rPr>
  </w:style>
  <w:style w:type="character" w:customStyle="1" w:styleId="HeaderChar">
    <w:name w:val="Header Char"/>
    <w:link w:val="Header"/>
    <w:rsid w:val="004D0DD7"/>
    <w:rPr>
      <w:rFonts w:ascii="Tahoma" w:hAnsi="Tahoma"/>
      <w:sz w:val="22"/>
      <w:lang w:eastAsia="en-US"/>
    </w:rPr>
  </w:style>
  <w:style w:type="paragraph" w:styleId="Revision">
    <w:name w:val="Revision"/>
    <w:hidden/>
    <w:uiPriority w:val="99"/>
    <w:semiHidden/>
    <w:rsid w:val="004D0DD7"/>
    <w:rPr>
      <w:rFonts w:ascii="Tahoma" w:hAnsi="Tahoma"/>
      <w:sz w:val="22"/>
      <w:lang w:eastAsia="en-US"/>
    </w:rPr>
  </w:style>
  <w:style w:type="character" w:styleId="CommentReference">
    <w:name w:val="annotation reference"/>
    <w:rsid w:val="004D0DD7"/>
    <w:rPr>
      <w:sz w:val="16"/>
      <w:szCs w:val="16"/>
    </w:rPr>
  </w:style>
  <w:style w:type="paragraph" w:styleId="CommentText">
    <w:name w:val="annotation text"/>
    <w:basedOn w:val="Normal"/>
    <w:link w:val="CommentTextChar"/>
    <w:rsid w:val="004D0DD7"/>
    <w:rPr>
      <w:sz w:val="20"/>
    </w:rPr>
  </w:style>
  <w:style w:type="character" w:customStyle="1" w:styleId="CommentTextChar">
    <w:name w:val="Comment Text Char"/>
    <w:link w:val="CommentText"/>
    <w:rsid w:val="004D0DD7"/>
    <w:rPr>
      <w:rFonts w:ascii="Tahoma" w:hAnsi="Tahoma"/>
      <w:lang w:eastAsia="en-US"/>
    </w:rPr>
  </w:style>
  <w:style w:type="paragraph" w:styleId="CommentSubject">
    <w:name w:val="annotation subject"/>
    <w:basedOn w:val="CommentText"/>
    <w:next w:val="CommentText"/>
    <w:link w:val="CommentSubjectChar"/>
    <w:rsid w:val="004D0DD7"/>
    <w:rPr>
      <w:b/>
      <w:bCs/>
    </w:rPr>
  </w:style>
  <w:style w:type="character" w:customStyle="1" w:styleId="CommentSubjectChar">
    <w:name w:val="Comment Subject Char"/>
    <w:link w:val="CommentSubject"/>
    <w:rsid w:val="004D0DD7"/>
    <w:rPr>
      <w:rFonts w:ascii="Tahoma" w:hAnsi="Tahoma"/>
      <w:b/>
      <w:bCs/>
      <w:lang w:eastAsia="en-US"/>
    </w:rPr>
  </w:style>
  <w:style w:type="table" w:styleId="TableGrid">
    <w:name w:val="Table Grid"/>
    <w:basedOn w:val="TableNormal"/>
    <w:rsid w:val="00985E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7314"/>
    <w:rPr>
      <w:color w:val="605E5C"/>
      <w:shd w:val="clear" w:color="auto" w:fill="E1DFDD"/>
    </w:rPr>
  </w:style>
  <w:style w:type="character" w:customStyle="1" w:styleId="FooterChar">
    <w:name w:val="Footer Char"/>
    <w:basedOn w:val="DefaultParagraphFont"/>
    <w:link w:val="Footer"/>
    <w:uiPriority w:val="99"/>
    <w:rsid w:val="00F20EC1"/>
    <w:rPr>
      <w:rFonts w:ascii="Tahoma" w:hAnsi="Tahoma"/>
      <w:sz w:val="22"/>
      <w:lang w:eastAsia="en-US"/>
    </w:rPr>
  </w:style>
  <w:style w:type="paragraph" w:styleId="NormalWeb">
    <w:name w:val="Normal (Web)"/>
    <w:basedOn w:val="Normal"/>
    <w:uiPriority w:val="99"/>
    <w:unhideWhenUsed/>
    <w:rsid w:val="000E4EB6"/>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0E4EB6"/>
    <w:rPr>
      <w:b/>
      <w:bCs/>
    </w:rPr>
  </w:style>
  <w:style w:type="paragraph" w:styleId="ListParagraph">
    <w:name w:val="List Paragraph"/>
    <w:basedOn w:val="Normal"/>
    <w:uiPriority w:val="34"/>
    <w:qFormat/>
    <w:rsid w:val="000E4EB6"/>
    <w:pPr>
      <w:ind w:left="720"/>
      <w:contextualSpacing/>
    </w:pPr>
  </w:style>
  <w:style w:type="character" w:styleId="Emphasis">
    <w:name w:val="Emphasis"/>
    <w:basedOn w:val="DefaultParagraphFont"/>
    <w:uiPriority w:val="20"/>
    <w:qFormat/>
    <w:rsid w:val="00111DA2"/>
    <w:rPr>
      <w:i/>
      <w:iCs/>
    </w:rPr>
  </w:style>
  <w:style w:type="paragraph" w:customStyle="1" w:styleId="p1">
    <w:name w:val="p1"/>
    <w:basedOn w:val="Normal"/>
    <w:rsid w:val="004F4E36"/>
    <w:rPr>
      <w:rFonts w:ascii="Helvetica" w:hAnsi="Helvetica"/>
      <w:color w:val="000000"/>
      <w:sz w:val="18"/>
      <w:szCs w:val="18"/>
      <w:lang w:eastAsia="en-GB"/>
    </w:rPr>
  </w:style>
  <w:style w:type="character" w:customStyle="1" w:styleId="s1">
    <w:name w:val="s1"/>
    <w:basedOn w:val="DefaultParagraphFont"/>
    <w:rsid w:val="004F4E36"/>
    <w:rPr>
      <w:rFonts w:ascii="Arial" w:hAnsi="Arial" w:cs="Arial" w:hint="default"/>
      <w:sz w:val="18"/>
      <w:szCs w:val="18"/>
    </w:rPr>
  </w:style>
  <w:style w:type="character" w:customStyle="1" w:styleId="apple-converted-space">
    <w:name w:val="apple-converted-space"/>
    <w:basedOn w:val="DefaultParagraphFont"/>
    <w:rsid w:val="00657B11"/>
  </w:style>
  <w:style w:type="paragraph" w:customStyle="1" w:styleId="p2">
    <w:name w:val="p2"/>
    <w:basedOn w:val="Normal"/>
    <w:rsid w:val="00657B11"/>
    <w:rPr>
      <w:rFonts w:ascii="Helvetica" w:hAnsi="Helvetica"/>
      <w:color w:val="386573"/>
      <w:sz w:val="18"/>
      <w:szCs w:val="18"/>
      <w:lang w:eastAsia="en-GB"/>
    </w:rPr>
  </w:style>
  <w:style w:type="paragraph" w:customStyle="1" w:styleId="quote">
    <w:name w:val="quote"/>
    <w:basedOn w:val="p1"/>
    <w:next w:val="Quote0"/>
    <w:qFormat/>
    <w:rsid w:val="004C1D99"/>
    <w:rPr>
      <w:rFonts w:asciiTheme="minorHAnsi" w:hAnsiTheme="minorHAnsi" w:cstheme="minorHAnsi"/>
      <w:sz w:val="22"/>
      <w:szCs w:val="22"/>
    </w:rPr>
  </w:style>
  <w:style w:type="paragraph" w:styleId="Quote0">
    <w:name w:val="Quote"/>
    <w:basedOn w:val="Normal"/>
    <w:next w:val="Normal"/>
    <w:link w:val="QuoteChar"/>
    <w:uiPriority w:val="29"/>
    <w:qFormat/>
    <w:rsid w:val="004C1D99"/>
    <w:pPr>
      <w:spacing w:before="200" w:after="160"/>
      <w:ind w:left="864" w:right="864"/>
      <w:jc w:val="center"/>
    </w:pPr>
    <w:rPr>
      <w:i/>
      <w:iCs/>
      <w:color w:val="404040" w:themeColor="text1" w:themeTint="BF"/>
    </w:rPr>
  </w:style>
  <w:style w:type="character" w:customStyle="1" w:styleId="QuoteChar">
    <w:name w:val="Quote Char"/>
    <w:basedOn w:val="DefaultParagraphFont"/>
    <w:link w:val="Quote0"/>
    <w:uiPriority w:val="29"/>
    <w:rsid w:val="004C1D99"/>
    <w:rPr>
      <w:rFonts w:ascii="Tahoma" w:hAnsi="Tahoma"/>
      <w:i/>
      <w:iCs/>
      <w:color w:val="404040" w:themeColor="text1" w:themeTint="BF"/>
      <w:sz w:val="22"/>
      <w:lang w:eastAsia="en-US"/>
    </w:rPr>
  </w:style>
  <w:style w:type="character" w:customStyle="1" w:styleId="fadeinm1hgl8">
    <w:name w:val="_fadein_m1hgl_8"/>
    <w:basedOn w:val="DefaultParagraphFont"/>
    <w:rsid w:val="009D6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47924">
      <w:bodyDiv w:val="1"/>
      <w:marLeft w:val="0"/>
      <w:marRight w:val="0"/>
      <w:marTop w:val="0"/>
      <w:marBottom w:val="0"/>
      <w:divBdr>
        <w:top w:val="none" w:sz="0" w:space="0" w:color="auto"/>
        <w:left w:val="none" w:sz="0" w:space="0" w:color="auto"/>
        <w:bottom w:val="none" w:sz="0" w:space="0" w:color="auto"/>
        <w:right w:val="none" w:sz="0" w:space="0" w:color="auto"/>
      </w:divBdr>
    </w:div>
    <w:div w:id="348530955">
      <w:bodyDiv w:val="1"/>
      <w:marLeft w:val="0"/>
      <w:marRight w:val="0"/>
      <w:marTop w:val="0"/>
      <w:marBottom w:val="0"/>
      <w:divBdr>
        <w:top w:val="none" w:sz="0" w:space="0" w:color="auto"/>
        <w:left w:val="none" w:sz="0" w:space="0" w:color="auto"/>
        <w:bottom w:val="none" w:sz="0" w:space="0" w:color="auto"/>
        <w:right w:val="none" w:sz="0" w:space="0" w:color="auto"/>
      </w:divBdr>
    </w:div>
    <w:div w:id="442462804">
      <w:bodyDiv w:val="1"/>
      <w:marLeft w:val="0"/>
      <w:marRight w:val="0"/>
      <w:marTop w:val="0"/>
      <w:marBottom w:val="0"/>
      <w:divBdr>
        <w:top w:val="none" w:sz="0" w:space="0" w:color="auto"/>
        <w:left w:val="none" w:sz="0" w:space="0" w:color="auto"/>
        <w:bottom w:val="none" w:sz="0" w:space="0" w:color="auto"/>
        <w:right w:val="none" w:sz="0" w:space="0" w:color="auto"/>
      </w:divBdr>
    </w:div>
    <w:div w:id="652874655">
      <w:bodyDiv w:val="1"/>
      <w:marLeft w:val="0"/>
      <w:marRight w:val="0"/>
      <w:marTop w:val="0"/>
      <w:marBottom w:val="0"/>
      <w:divBdr>
        <w:top w:val="none" w:sz="0" w:space="0" w:color="auto"/>
        <w:left w:val="none" w:sz="0" w:space="0" w:color="auto"/>
        <w:bottom w:val="none" w:sz="0" w:space="0" w:color="auto"/>
        <w:right w:val="none" w:sz="0" w:space="0" w:color="auto"/>
      </w:divBdr>
    </w:div>
    <w:div w:id="871650802">
      <w:bodyDiv w:val="1"/>
      <w:marLeft w:val="0"/>
      <w:marRight w:val="0"/>
      <w:marTop w:val="0"/>
      <w:marBottom w:val="0"/>
      <w:divBdr>
        <w:top w:val="none" w:sz="0" w:space="0" w:color="auto"/>
        <w:left w:val="none" w:sz="0" w:space="0" w:color="auto"/>
        <w:bottom w:val="none" w:sz="0" w:space="0" w:color="auto"/>
        <w:right w:val="none" w:sz="0" w:space="0" w:color="auto"/>
      </w:divBdr>
    </w:div>
    <w:div w:id="905841057">
      <w:bodyDiv w:val="1"/>
      <w:marLeft w:val="0"/>
      <w:marRight w:val="0"/>
      <w:marTop w:val="0"/>
      <w:marBottom w:val="0"/>
      <w:divBdr>
        <w:top w:val="none" w:sz="0" w:space="0" w:color="auto"/>
        <w:left w:val="none" w:sz="0" w:space="0" w:color="auto"/>
        <w:bottom w:val="none" w:sz="0" w:space="0" w:color="auto"/>
        <w:right w:val="none" w:sz="0" w:space="0" w:color="auto"/>
      </w:divBdr>
    </w:div>
    <w:div w:id="929196701">
      <w:bodyDiv w:val="1"/>
      <w:marLeft w:val="0"/>
      <w:marRight w:val="0"/>
      <w:marTop w:val="0"/>
      <w:marBottom w:val="0"/>
      <w:divBdr>
        <w:top w:val="none" w:sz="0" w:space="0" w:color="auto"/>
        <w:left w:val="none" w:sz="0" w:space="0" w:color="auto"/>
        <w:bottom w:val="none" w:sz="0" w:space="0" w:color="auto"/>
        <w:right w:val="none" w:sz="0" w:space="0" w:color="auto"/>
      </w:divBdr>
    </w:div>
    <w:div w:id="1034112023">
      <w:bodyDiv w:val="1"/>
      <w:marLeft w:val="0"/>
      <w:marRight w:val="0"/>
      <w:marTop w:val="0"/>
      <w:marBottom w:val="0"/>
      <w:divBdr>
        <w:top w:val="none" w:sz="0" w:space="0" w:color="auto"/>
        <w:left w:val="none" w:sz="0" w:space="0" w:color="auto"/>
        <w:bottom w:val="none" w:sz="0" w:space="0" w:color="auto"/>
        <w:right w:val="none" w:sz="0" w:space="0" w:color="auto"/>
      </w:divBdr>
    </w:div>
    <w:div w:id="1133134777">
      <w:bodyDiv w:val="1"/>
      <w:marLeft w:val="0"/>
      <w:marRight w:val="0"/>
      <w:marTop w:val="0"/>
      <w:marBottom w:val="0"/>
      <w:divBdr>
        <w:top w:val="none" w:sz="0" w:space="0" w:color="auto"/>
        <w:left w:val="none" w:sz="0" w:space="0" w:color="auto"/>
        <w:bottom w:val="none" w:sz="0" w:space="0" w:color="auto"/>
        <w:right w:val="none" w:sz="0" w:space="0" w:color="auto"/>
      </w:divBdr>
    </w:div>
    <w:div w:id="1232236178">
      <w:bodyDiv w:val="1"/>
      <w:marLeft w:val="0"/>
      <w:marRight w:val="0"/>
      <w:marTop w:val="0"/>
      <w:marBottom w:val="0"/>
      <w:divBdr>
        <w:top w:val="none" w:sz="0" w:space="0" w:color="auto"/>
        <w:left w:val="none" w:sz="0" w:space="0" w:color="auto"/>
        <w:bottom w:val="none" w:sz="0" w:space="0" w:color="auto"/>
        <w:right w:val="none" w:sz="0" w:space="0" w:color="auto"/>
      </w:divBdr>
    </w:div>
    <w:div w:id="1244872380">
      <w:bodyDiv w:val="1"/>
      <w:marLeft w:val="0"/>
      <w:marRight w:val="0"/>
      <w:marTop w:val="0"/>
      <w:marBottom w:val="0"/>
      <w:divBdr>
        <w:top w:val="none" w:sz="0" w:space="0" w:color="auto"/>
        <w:left w:val="none" w:sz="0" w:space="0" w:color="auto"/>
        <w:bottom w:val="none" w:sz="0" w:space="0" w:color="auto"/>
        <w:right w:val="none" w:sz="0" w:space="0" w:color="auto"/>
      </w:divBdr>
    </w:div>
    <w:div w:id="1321622157">
      <w:bodyDiv w:val="1"/>
      <w:marLeft w:val="0"/>
      <w:marRight w:val="0"/>
      <w:marTop w:val="0"/>
      <w:marBottom w:val="0"/>
      <w:divBdr>
        <w:top w:val="none" w:sz="0" w:space="0" w:color="auto"/>
        <w:left w:val="none" w:sz="0" w:space="0" w:color="auto"/>
        <w:bottom w:val="none" w:sz="0" w:space="0" w:color="auto"/>
        <w:right w:val="none" w:sz="0" w:space="0" w:color="auto"/>
      </w:divBdr>
    </w:div>
    <w:div w:id="1479373912">
      <w:bodyDiv w:val="1"/>
      <w:marLeft w:val="0"/>
      <w:marRight w:val="0"/>
      <w:marTop w:val="0"/>
      <w:marBottom w:val="0"/>
      <w:divBdr>
        <w:top w:val="none" w:sz="0" w:space="0" w:color="auto"/>
        <w:left w:val="none" w:sz="0" w:space="0" w:color="auto"/>
        <w:bottom w:val="none" w:sz="0" w:space="0" w:color="auto"/>
        <w:right w:val="none" w:sz="0" w:space="0" w:color="auto"/>
      </w:divBdr>
    </w:div>
    <w:div w:id="1500735430">
      <w:bodyDiv w:val="1"/>
      <w:marLeft w:val="0"/>
      <w:marRight w:val="0"/>
      <w:marTop w:val="0"/>
      <w:marBottom w:val="0"/>
      <w:divBdr>
        <w:top w:val="none" w:sz="0" w:space="0" w:color="auto"/>
        <w:left w:val="none" w:sz="0" w:space="0" w:color="auto"/>
        <w:bottom w:val="none" w:sz="0" w:space="0" w:color="auto"/>
        <w:right w:val="none" w:sz="0" w:space="0" w:color="auto"/>
      </w:divBdr>
    </w:div>
    <w:div w:id="1521747528">
      <w:bodyDiv w:val="1"/>
      <w:marLeft w:val="0"/>
      <w:marRight w:val="0"/>
      <w:marTop w:val="0"/>
      <w:marBottom w:val="0"/>
      <w:divBdr>
        <w:top w:val="none" w:sz="0" w:space="0" w:color="auto"/>
        <w:left w:val="none" w:sz="0" w:space="0" w:color="auto"/>
        <w:bottom w:val="none" w:sz="0" w:space="0" w:color="auto"/>
        <w:right w:val="none" w:sz="0" w:space="0" w:color="auto"/>
      </w:divBdr>
    </w:div>
    <w:div w:id="1555045035">
      <w:bodyDiv w:val="1"/>
      <w:marLeft w:val="0"/>
      <w:marRight w:val="0"/>
      <w:marTop w:val="0"/>
      <w:marBottom w:val="0"/>
      <w:divBdr>
        <w:top w:val="none" w:sz="0" w:space="0" w:color="auto"/>
        <w:left w:val="none" w:sz="0" w:space="0" w:color="auto"/>
        <w:bottom w:val="none" w:sz="0" w:space="0" w:color="auto"/>
        <w:right w:val="none" w:sz="0" w:space="0" w:color="auto"/>
      </w:divBdr>
    </w:div>
    <w:div w:id="1651707956">
      <w:bodyDiv w:val="1"/>
      <w:marLeft w:val="0"/>
      <w:marRight w:val="0"/>
      <w:marTop w:val="0"/>
      <w:marBottom w:val="0"/>
      <w:divBdr>
        <w:top w:val="none" w:sz="0" w:space="0" w:color="auto"/>
        <w:left w:val="none" w:sz="0" w:space="0" w:color="auto"/>
        <w:bottom w:val="none" w:sz="0" w:space="0" w:color="auto"/>
        <w:right w:val="none" w:sz="0" w:space="0" w:color="auto"/>
      </w:divBdr>
    </w:div>
    <w:div w:id="1658142702">
      <w:bodyDiv w:val="1"/>
      <w:marLeft w:val="0"/>
      <w:marRight w:val="0"/>
      <w:marTop w:val="0"/>
      <w:marBottom w:val="0"/>
      <w:divBdr>
        <w:top w:val="none" w:sz="0" w:space="0" w:color="auto"/>
        <w:left w:val="none" w:sz="0" w:space="0" w:color="auto"/>
        <w:bottom w:val="none" w:sz="0" w:space="0" w:color="auto"/>
        <w:right w:val="none" w:sz="0" w:space="0" w:color="auto"/>
      </w:divBdr>
    </w:div>
    <w:div w:id="1796752048">
      <w:bodyDiv w:val="1"/>
      <w:marLeft w:val="0"/>
      <w:marRight w:val="0"/>
      <w:marTop w:val="0"/>
      <w:marBottom w:val="0"/>
      <w:divBdr>
        <w:top w:val="none" w:sz="0" w:space="0" w:color="auto"/>
        <w:left w:val="none" w:sz="0" w:space="0" w:color="auto"/>
        <w:bottom w:val="none" w:sz="0" w:space="0" w:color="auto"/>
        <w:right w:val="none" w:sz="0" w:space="0" w:color="auto"/>
      </w:divBdr>
    </w:div>
    <w:div w:id="2012103847">
      <w:bodyDiv w:val="1"/>
      <w:marLeft w:val="0"/>
      <w:marRight w:val="0"/>
      <w:marTop w:val="0"/>
      <w:marBottom w:val="0"/>
      <w:divBdr>
        <w:top w:val="none" w:sz="0" w:space="0" w:color="auto"/>
        <w:left w:val="none" w:sz="0" w:space="0" w:color="auto"/>
        <w:bottom w:val="none" w:sz="0" w:space="0" w:color="auto"/>
        <w:right w:val="none" w:sz="0" w:space="0" w:color="auto"/>
      </w:divBdr>
    </w:div>
    <w:div w:id="209396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hyperlink" Target="https://www.cultura.gob.mx/revelandomexico/pedro-valtierra/"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hyperlink" Target="https://roarmag.org/essays/zapatista-autonomous-education-chiapa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i.org/10.1007/s11482-021-09910-0"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sis.org/analysis/chinas-power-play-acrosspacific"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heguardian.com/world/2025/aug/20/maori-words-school-books-new-zealand?utm_source=chatgpt.com"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FAT\template\Infomap.new.dot"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73545"/>
      </a:dk2>
      <a:lt2>
        <a:srgbClr val="726772"/>
      </a:lt2>
      <a:accent1>
        <a:srgbClr val="AD84C6"/>
      </a:accent1>
      <a:accent2>
        <a:srgbClr val="8784C7"/>
      </a:accent2>
      <a:accent3>
        <a:srgbClr val="5D739A"/>
      </a:accent3>
      <a:accent4>
        <a:srgbClr val="6997AF"/>
      </a:accent4>
      <a:accent5>
        <a:srgbClr val="84ACB6"/>
      </a:accent5>
      <a:accent6>
        <a:srgbClr val="6F8183"/>
      </a:accent6>
      <a:hlink>
        <a:srgbClr val="002060"/>
      </a:hlink>
      <a:folHlink>
        <a:srgbClr val="514DA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9E3125AE2E3A4A988B9ED6352229A3" ma:contentTypeVersion="12" ma:contentTypeDescription="Create a new document." ma:contentTypeScope="" ma:versionID="a950475c9efcf5f9a73f6cfee1464052">
  <xsd:schema xmlns:xsd="http://www.w3.org/2001/XMLSchema" xmlns:xs="http://www.w3.org/2001/XMLSchema" xmlns:p="http://schemas.microsoft.com/office/2006/metadata/properties" xmlns:ns3="4eff9629-3610-477b-8379-dfa2a083d151" xmlns:ns4="12b63033-6040-4026-bdc8-6f18134b8682" targetNamespace="http://schemas.microsoft.com/office/2006/metadata/properties" ma:root="true" ma:fieldsID="b815a09abdb4de27311cf5b0385d1174" ns3:_="" ns4:_="">
    <xsd:import namespace="4eff9629-3610-477b-8379-dfa2a083d151"/>
    <xsd:import namespace="12b63033-6040-4026-bdc8-6f18134b86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f9629-3610-477b-8379-dfa2a083d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63033-6040-4026-bdc8-6f18134b86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B2BB06-E77B-4CC9-82E7-6512B7426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f9629-3610-477b-8379-dfa2a083d151"/>
    <ds:schemaRef ds:uri="12b63033-6040-4026-bdc8-6f18134b8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DB361-E364-4D1E-AEF7-6C1B804689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2A9419-E67B-49C2-9F74-B16BD5130B00}">
  <ds:schemaRefs>
    <ds:schemaRef ds:uri="http://schemas.openxmlformats.org/officeDocument/2006/bibliography"/>
  </ds:schemaRefs>
</ds:datastoreItem>
</file>

<file path=customXml/itemProps4.xml><?xml version="1.0" encoding="utf-8"?>
<ds:datastoreItem xmlns:ds="http://schemas.openxmlformats.org/officeDocument/2006/customXml" ds:itemID="{C0BA635A-8983-43ED-8104-55CC94BBAA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C:\MFAT\template\Infomap.new.dot</Template>
  <TotalTime>342</TotalTime>
  <Pages>5</Pages>
  <Words>2334</Words>
  <Characters>13307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yOUR NAME</vt:lpstr>
    </vt:vector>
  </TitlesOfParts>
  <Company>Ministry of Foreign Affairs and Trade</Company>
  <LinksUpToDate>false</LinksUpToDate>
  <CharactersWithSpaces>15610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subject/>
  <dc:creator>andersi</dc:creator>
  <cp:lastModifiedBy>Jo Brockliss</cp:lastModifiedBy>
  <cp:revision>30</cp:revision>
  <cp:lastPrinted>2011-10-27T03:11:00Z</cp:lastPrinted>
  <dcterms:created xsi:type="dcterms:W3CDTF">2024-05-06T23:25:00Z</dcterms:created>
  <dcterms:modified xsi:type="dcterms:W3CDTF">2025-09-25T02:57:00Z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0x010100919E3125AE2E3A4A988B9ED6352229A3</vt:lpwstr>
  </property>
  <property fmtid="{D5CDD505-2E9C-101B-9397-08002B2CF9AE}" pid="3" name="_dlc_policyId">
    <vt:lpwstr>0x01010077AA9D1CFFA240DC80DAD99CA5F5CD00|-1830060468</vt:lpwstr>
  </property>
  <property fmtid="{D5CDD505-2E9C-101B-9397-08002B2CF9AE}" pid="4" name="ItemRetentionFormula">
    <vt:lpwstr/>
  </property>
  <property fmtid="{D5CDD505-2E9C-101B-9397-08002B2CF9AE}" pid="5" name="_dlc_DocIdItemGuid">
    <vt:lpwstr>5ad16565-20e7-493f-a51f-c575c89cbaeb</vt:lpwstr>
  </property>
  <property fmtid="{D5CDD505-2E9C-101B-9397-08002B2CF9AE}" pid="6" name="Order">
    <vt:r8>473100</vt:r8>
  </property>
  <property fmtid="{D5CDD505-2E9C-101B-9397-08002B2CF9AE}" pid="7" name="Topic">
    <vt:lpwstr>904;#Administration|dbd2b400-2f41-44be-9ffb-5d674245dc6e</vt:lpwstr>
  </property>
  <property fmtid="{D5CDD505-2E9C-101B-9397-08002B2CF9AE}" pid="8" name="FinancialYear">
    <vt:lpwstr/>
  </property>
  <property fmtid="{D5CDD505-2E9C-101B-9397-08002B2CF9AE}" pid="9" name="SecurityClassification">
    <vt:lpwstr>344;#UNCLASSIFIED|738a72fd-0042-476f-991b-551c05ade48c</vt:lpwstr>
  </property>
  <property fmtid="{D5CDD505-2E9C-101B-9397-08002B2CF9AE}" pid="10" name="Programme">
    <vt:lpwstr>2240;#Strategic Evaluation and Research|5a900277-3cfe-4758-969b-6dcd1f2e2940</vt:lpwstr>
  </property>
  <property fmtid="{D5CDD505-2E9C-101B-9397-08002B2CF9AE}" pid="11" name="CoveringClassification">
    <vt:lpwstr/>
  </property>
  <property fmtid="{D5CDD505-2E9C-101B-9397-08002B2CF9AE}" pid="12" name="SecurityCaveat">
    <vt:lpwstr/>
  </property>
  <property fmtid="{D5CDD505-2E9C-101B-9397-08002B2CF9AE}" pid="13" name="_dlc_LastRun">
    <vt:lpwstr>08/31/2019 23:28:34</vt:lpwstr>
  </property>
  <property fmtid="{D5CDD505-2E9C-101B-9397-08002B2CF9AE}" pid="14" name="_dlc_ItemStageId">
    <vt:lpwstr>1</vt:lpwstr>
  </property>
  <property fmtid="{D5CDD505-2E9C-101B-9397-08002B2CF9AE}" pid="15" name="GrammarlyDocumentId">
    <vt:lpwstr>1650c809785641c4348fad73f9bed9dd93f977bd7ef11c279579d9b7dea66773</vt:lpwstr>
  </property>
  <property fmtid="{D5CDD505-2E9C-101B-9397-08002B2CF9AE}" pid="16" name="MSIP_Label_bd9e4d68-54d0-40a5-8c9a-85a36c87352c_Enabled">
    <vt:lpwstr>true</vt:lpwstr>
  </property>
  <property fmtid="{D5CDD505-2E9C-101B-9397-08002B2CF9AE}" pid="17" name="MSIP_Label_bd9e4d68-54d0-40a5-8c9a-85a36c87352c_SetDate">
    <vt:lpwstr>2024-05-03T04:33:00Z</vt:lpwstr>
  </property>
  <property fmtid="{D5CDD505-2E9C-101B-9397-08002B2CF9AE}" pid="18" name="MSIP_Label_bd9e4d68-54d0-40a5-8c9a-85a36c87352c_Method">
    <vt:lpwstr>Standard</vt:lpwstr>
  </property>
  <property fmtid="{D5CDD505-2E9C-101B-9397-08002B2CF9AE}" pid="19" name="MSIP_Label_bd9e4d68-54d0-40a5-8c9a-85a36c87352c_Name">
    <vt:lpwstr>Unclassified</vt:lpwstr>
  </property>
  <property fmtid="{D5CDD505-2E9C-101B-9397-08002B2CF9AE}" pid="20" name="MSIP_Label_bd9e4d68-54d0-40a5-8c9a-85a36c87352c_SiteId">
    <vt:lpwstr>388728e1-bbd0-4378-98dc-f8682e644300</vt:lpwstr>
  </property>
  <property fmtid="{D5CDD505-2E9C-101B-9397-08002B2CF9AE}" pid="21" name="MSIP_Label_bd9e4d68-54d0-40a5-8c9a-85a36c87352c_ActionId">
    <vt:lpwstr>18f909c1-9e61-45bb-843a-94a63e2ec0b5</vt:lpwstr>
  </property>
  <property fmtid="{D5CDD505-2E9C-101B-9397-08002B2CF9AE}" pid="22" name="MSIP_Label_bd9e4d68-54d0-40a5-8c9a-85a36c87352c_ContentBits">
    <vt:lpwstr>0</vt:lpwstr>
  </property>
</Properties>
</file>