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93495" w14:textId="77777777" w:rsidR="003D6913" w:rsidRPr="00831C12" w:rsidRDefault="003D6913" w:rsidP="00831C12">
      <w:pPr>
        <w:sectPr w:rsidR="003D6913" w:rsidRPr="00831C12" w:rsidSect="00AA704D">
          <w:headerReference w:type="even" r:id="rId11"/>
          <w:headerReference w:type="default" r:id="rId12"/>
          <w:footerReference w:type="even" r:id="rId13"/>
          <w:footerReference w:type="default" r:id="rId14"/>
          <w:headerReference w:type="first" r:id="rId15"/>
          <w:footerReference w:type="first" r:id="rId16"/>
          <w:pgSz w:w="11907" w:h="16840" w:code="9"/>
          <w:pgMar w:top="238" w:right="1418" w:bottom="1021" w:left="1418" w:header="0" w:footer="0" w:gutter="0"/>
          <w:pgNumType w:start="1" w:chapStyle="1"/>
          <w:cols w:space="720"/>
          <w:formProt w:val="0"/>
          <w:titlePg/>
          <w:docGrid w:linePitch="299"/>
        </w:sectPr>
      </w:pPr>
    </w:p>
    <w:p w14:paraId="746777F5" w14:textId="70DBE173" w:rsidR="00473FD8" w:rsidRPr="00383BCD" w:rsidRDefault="00A66439" w:rsidP="00473FD8">
      <w:pPr>
        <w:ind w:firstLine="720"/>
        <w:rPr>
          <w:rFonts w:asciiTheme="minorHAnsi" w:hAnsiTheme="minorHAnsi" w:cstheme="minorHAnsi"/>
          <w:sz w:val="24"/>
          <w:szCs w:val="24"/>
        </w:rPr>
      </w:pPr>
      <w:r>
        <w:rPr>
          <w:rFonts w:asciiTheme="minorHAnsi" w:hAnsiTheme="minorHAnsi" w:cstheme="minorHAnsi"/>
          <w:sz w:val="24"/>
          <w:szCs w:val="24"/>
        </w:rPr>
        <w:t>Sieni Tiraa</w:t>
      </w:r>
      <w:r w:rsidR="00473FD8" w:rsidRPr="00383BCD">
        <w:rPr>
          <w:rFonts w:asciiTheme="minorHAnsi" w:hAnsiTheme="minorHAnsi" w:cstheme="minorHAnsi"/>
          <w:sz w:val="24"/>
          <w:szCs w:val="24"/>
        </w:rPr>
        <w:t xml:space="preserve"> | </w:t>
      </w:r>
      <w:r>
        <w:rPr>
          <w:rFonts w:asciiTheme="minorHAnsi" w:hAnsiTheme="minorHAnsi" w:cstheme="minorHAnsi"/>
          <w:sz w:val="24"/>
          <w:szCs w:val="24"/>
        </w:rPr>
        <w:t>Master of International Development</w:t>
      </w:r>
      <w:r w:rsidR="00473FD8" w:rsidRPr="00383BCD">
        <w:rPr>
          <w:rFonts w:asciiTheme="minorHAnsi" w:hAnsiTheme="minorHAnsi" w:cstheme="minorHAnsi"/>
          <w:sz w:val="24"/>
          <w:szCs w:val="24"/>
        </w:rPr>
        <w:t xml:space="preserve"> | </w:t>
      </w:r>
      <w:r>
        <w:rPr>
          <w:rFonts w:asciiTheme="minorHAnsi" w:hAnsiTheme="minorHAnsi" w:cstheme="minorHAnsi"/>
          <w:sz w:val="24"/>
          <w:szCs w:val="24"/>
        </w:rPr>
        <w:t>Massey University</w:t>
      </w:r>
    </w:p>
    <w:p w14:paraId="56731785" w14:textId="77777777" w:rsidR="00473FD8" w:rsidRPr="00383BCD" w:rsidRDefault="00473FD8" w:rsidP="00473FD8">
      <w:pPr>
        <w:ind w:firstLine="720"/>
        <w:rPr>
          <w:rFonts w:asciiTheme="minorHAnsi" w:hAnsiTheme="minorHAnsi" w:cstheme="minorHAnsi"/>
          <w:sz w:val="24"/>
          <w:szCs w:val="24"/>
        </w:rPr>
      </w:pPr>
    </w:p>
    <w:p w14:paraId="0A012AA2" w14:textId="1BA6927E" w:rsidR="006859B9" w:rsidRPr="00383BCD" w:rsidRDefault="00473FD8" w:rsidP="00A26896">
      <w:pPr>
        <w:ind w:left="1440"/>
        <w:jc w:val="center"/>
        <w:rPr>
          <w:rFonts w:asciiTheme="minorHAnsi" w:hAnsiTheme="minorHAnsi" w:cstheme="minorHAnsi"/>
          <w:b/>
          <w:bCs/>
          <w:sz w:val="24"/>
          <w:szCs w:val="24"/>
        </w:rPr>
      </w:pPr>
      <w:r w:rsidRPr="00383BCD">
        <w:rPr>
          <w:rFonts w:asciiTheme="minorHAnsi" w:hAnsiTheme="minorHAnsi" w:cstheme="minorHAnsi"/>
          <w:b/>
          <w:bCs/>
          <w:sz w:val="24"/>
          <w:szCs w:val="24"/>
        </w:rPr>
        <w:t>T</w:t>
      </w:r>
      <w:r w:rsidR="00247F34">
        <w:rPr>
          <w:rFonts w:asciiTheme="minorHAnsi" w:hAnsiTheme="minorHAnsi" w:cstheme="minorHAnsi"/>
          <w:b/>
          <w:bCs/>
          <w:sz w:val="24"/>
          <w:szCs w:val="24"/>
        </w:rPr>
        <w:t>he ambivalent relationship between land tenure and tourism development on Rarotonga, Cook Islands</w:t>
      </w:r>
      <w:r w:rsidR="00A26896">
        <w:rPr>
          <w:rFonts w:asciiTheme="minorHAnsi" w:hAnsiTheme="minorHAnsi" w:cstheme="minorHAnsi"/>
          <w:b/>
          <w:bCs/>
          <w:sz w:val="24"/>
          <w:szCs w:val="24"/>
        </w:rPr>
        <w:t>.</w:t>
      </w:r>
    </w:p>
    <w:p w14:paraId="2AF1ECAF" w14:textId="77777777" w:rsidR="006859B9" w:rsidRPr="00473FD8" w:rsidRDefault="006859B9" w:rsidP="00473FD8">
      <w:pPr>
        <w:ind w:firstLine="720"/>
        <w:jc w:val="center"/>
        <w:rPr>
          <w:b/>
          <w:bCs/>
        </w:rPr>
      </w:pPr>
    </w:p>
    <w:tbl>
      <w:tblPr>
        <w:tblStyle w:val="TableGrid"/>
        <w:tblW w:w="11057" w:type="dxa"/>
        <w:tblInd w:w="-1139" w:type="dxa"/>
        <w:shd w:val="clear" w:color="auto" w:fill="D9D9D9" w:themeFill="background1" w:themeFillShade="D9"/>
        <w:tblLook w:val="04A0" w:firstRow="1" w:lastRow="0" w:firstColumn="1" w:lastColumn="0" w:noHBand="0" w:noVBand="1"/>
      </w:tblPr>
      <w:tblGrid>
        <w:gridCol w:w="11057"/>
      </w:tblGrid>
      <w:tr w:rsidR="006859B9" w:rsidRPr="00383BCD" w14:paraId="348A3D10" w14:textId="77777777" w:rsidTr="00B45DA4">
        <w:trPr>
          <w:trHeight w:val="5532"/>
        </w:trPr>
        <w:tc>
          <w:tcPr>
            <w:tcW w:w="11057" w:type="dxa"/>
            <w:shd w:val="clear" w:color="auto" w:fill="D9D9D9" w:themeFill="background1" w:themeFillShade="D9"/>
          </w:tcPr>
          <w:p w14:paraId="76CCF46F" w14:textId="72FD949A" w:rsidR="006859B9" w:rsidRDefault="006859B9" w:rsidP="006859B9">
            <w:pPr>
              <w:rPr>
                <w:rFonts w:asciiTheme="minorHAnsi" w:hAnsiTheme="minorHAnsi" w:cstheme="minorHAnsi"/>
                <w:szCs w:val="22"/>
              </w:rPr>
            </w:pPr>
            <w:r w:rsidRPr="00383BCD">
              <w:rPr>
                <w:rFonts w:asciiTheme="minorHAnsi" w:hAnsiTheme="minorHAnsi" w:cstheme="minorHAnsi"/>
                <w:b/>
                <w:color w:val="864EA8" w:themeColor="accent1" w:themeShade="BF"/>
                <w:sz w:val="24"/>
                <w:szCs w:val="24"/>
              </w:rPr>
              <w:t>Summary</w:t>
            </w:r>
            <w:r w:rsidRPr="00A62056">
              <w:rPr>
                <w:rFonts w:asciiTheme="minorHAnsi" w:hAnsiTheme="minorHAnsi" w:cstheme="minorHAnsi"/>
                <w:b/>
                <w:color w:val="864EA8" w:themeColor="accent1" w:themeShade="BF"/>
                <w:sz w:val="24"/>
                <w:szCs w:val="24"/>
              </w:rPr>
              <w:t>:</w:t>
            </w:r>
            <w:r w:rsidRPr="00A62056">
              <w:rPr>
                <w:rFonts w:asciiTheme="minorHAnsi" w:hAnsiTheme="minorHAnsi" w:cstheme="minorHAnsi"/>
                <w:b/>
                <w:color w:val="864EA8" w:themeColor="accent1" w:themeShade="BF"/>
              </w:rPr>
              <w:t xml:space="preserve"> </w:t>
            </w:r>
            <w:r w:rsidRPr="00A62056">
              <w:rPr>
                <w:rFonts w:asciiTheme="minorHAnsi" w:hAnsiTheme="minorHAnsi" w:cstheme="minorHAnsi"/>
                <w:color w:val="864EA8" w:themeColor="accent1" w:themeShade="BF"/>
                <w:szCs w:val="22"/>
              </w:rPr>
              <w:t xml:space="preserve"> </w:t>
            </w:r>
          </w:p>
          <w:p w14:paraId="67F3C6CE" w14:textId="35D30682" w:rsidR="005765A5" w:rsidRPr="005765A5" w:rsidRDefault="005765A5" w:rsidP="005765A5">
            <w:pPr>
              <w:pStyle w:val="ListParagraph"/>
              <w:numPr>
                <w:ilvl w:val="0"/>
                <w:numId w:val="22"/>
              </w:numPr>
              <w:rPr>
                <w:rFonts w:asciiTheme="minorHAnsi" w:hAnsiTheme="minorHAnsi" w:cstheme="minorHAnsi"/>
                <w:szCs w:val="22"/>
                <w:lang w:val="en-CK"/>
              </w:rPr>
            </w:pPr>
            <w:r w:rsidRPr="005765A5">
              <w:rPr>
                <w:rFonts w:asciiTheme="minorHAnsi" w:hAnsiTheme="minorHAnsi" w:cstheme="minorHAnsi"/>
                <w:szCs w:val="22"/>
                <w:lang w:val="en-CK"/>
              </w:rPr>
              <w:t>The research examines how customary and statutory land tenure systems operate in practice under tourism</w:t>
            </w:r>
            <w:r w:rsidRPr="005765A5">
              <w:rPr>
                <w:rFonts w:asciiTheme="minorHAnsi" w:hAnsiTheme="minorHAnsi" w:cstheme="minorHAnsi"/>
                <w:szCs w:val="22"/>
                <w:lang w:val="en-CK"/>
              </w:rPr>
              <w:noBreakHyphen/>
              <w:t>led economic pressure, drawing on qualitative evidence from landholders to understand lived experiences of land use and decision</w:t>
            </w:r>
            <w:r w:rsidRPr="005765A5">
              <w:rPr>
                <w:rFonts w:asciiTheme="minorHAnsi" w:hAnsiTheme="minorHAnsi" w:cstheme="minorHAnsi"/>
                <w:szCs w:val="22"/>
                <w:lang w:val="en-CK"/>
              </w:rPr>
              <w:noBreakHyphen/>
              <w:t>making.</w:t>
            </w:r>
          </w:p>
          <w:p w14:paraId="3DB90CA3" w14:textId="77777777" w:rsidR="005765A5" w:rsidRPr="005765A5" w:rsidRDefault="005765A5" w:rsidP="005765A5">
            <w:pPr>
              <w:pStyle w:val="ListParagraph"/>
              <w:numPr>
                <w:ilvl w:val="0"/>
                <w:numId w:val="22"/>
              </w:numPr>
              <w:rPr>
                <w:rFonts w:asciiTheme="minorHAnsi" w:hAnsiTheme="minorHAnsi" w:cstheme="minorHAnsi"/>
                <w:szCs w:val="22"/>
                <w:lang w:val="en-CK"/>
              </w:rPr>
            </w:pPr>
            <w:r w:rsidRPr="005765A5">
              <w:rPr>
                <w:rFonts w:asciiTheme="minorHAnsi" w:hAnsiTheme="minorHAnsi" w:cstheme="minorHAnsi"/>
                <w:szCs w:val="22"/>
                <w:lang w:val="en-CK"/>
              </w:rPr>
              <w:t>Findings show that customary and market</w:t>
            </w:r>
            <w:r w:rsidRPr="005765A5">
              <w:rPr>
                <w:rFonts w:asciiTheme="minorHAnsi" w:hAnsiTheme="minorHAnsi" w:cstheme="minorHAnsi"/>
                <w:szCs w:val="22"/>
                <w:lang w:val="en-CK"/>
              </w:rPr>
              <w:noBreakHyphen/>
              <w:t>based tenure systems function in a dynamic relationship, at times reinforcing each other while also producing tensions, rather than operating as strictly separate or opposing systems.</w:t>
            </w:r>
          </w:p>
          <w:p w14:paraId="0EF9A694" w14:textId="77777777" w:rsidR="005765A5" w:rsidRPr="005765A5" w:rsidRDefault="005765A5" w:rsidP="005765A5">
            <w:pPr>
              <w:pStyle w:val="ListParagraph"/>
              <w:numPr>
                <w:ilvl w:val="0"/>
                <w:numId w:val="22"/>
              </w:numPr>
              <w:rPr>
                <w:rFonts w:asciiTheme="minorHAnsi" w:hAnsiTheme="minorHAnsi" w:cstheme="minorHAnsi"/>
                <w:szCs w:val="22"/>
                <w:lang w:val="en-CK"/>
              </w:rPr>
            </w:pPr>
            <w:r w:rsidRPr="005765A5">
              <w:rPr>
                <w:rFonts w:asciiTheme="minorHAnsi" w:hAnsiTheme="minorHAnsi" w:cstheme="minorHAnsi"/>
                <w:szCs w:val="22"/>
                <w:lang w:val="en-CK"/>
              </w:rPr>
              <w:t xml:space="preserve">Tourism development has contributed to a reinforcing cycle of land leasing, access to finance, and further development, which has increased the economic valuation and </w:t>
            </w:r>
            <w:proofErr w:type="spellStart"/>
            <w:r w:rsidRPr="005765A5">
              <w:rPr>
                <w:rFonts w:asciiTheme="minorHAnsi" w:hAnsiTheme="minorHAnsi" w:cstheme="minorHAnsi"/>
                <w:szCs w:val="22"/>
                <w:lang w:val="en-CK"/>
              </w:rPr>
              <w:t>financialisation</w:t>
            </w:r>
            <w:proofErr w:type="spellEnd"/>
            <w:r w:rsidRPr="005765A5">
              <w:rPr>
                <w:rFonts w:asciiTheme="minorHAnsi" w:hAnsiTheme="minorHAnsi" w:cstheme="minorHAnsi"/>
                <w:szCs w:val="22"/>
                <w:lang w:val="en-CK"/>
              </w:rPr>
              <w:t xml:space="preserve"> of land and intensified leasing activity.</w:t>
            </w:r>
          </w:p>
          <w:p w14:paraId="446ADDF6" w14:textId="3A4F37F4" w:rsidR="006859B9" w:rsidRPr="00B207D1" w:rsidRDefault="005765A5" w:rsidP="00B207D1">
            <w:pPr>
              <w:pStyle w:val="ListParagraph"/>
              <w:numPr>
                <w:ilvl w:val="0"/>
                <w:numId w:val="22"/>
              </w:numPr>
              <w:rPr>
                <w:rFonts w:asciiTheme="minorHAnsi" w:hAnsiTheme="minorHAnsi" w:cstheme="minorHAnsi"/>
                <w:szCs w:val="22"/>
                <w:lang w:val="en-CK"/>
              </w:rPr>
            </w:pPr>
            <w:r w:rsidRPr="005765A5">
              <w:rPr>
                <w:rFonts w:asciiTheme="minorHAnsi" w:hAnsiTheme="minorHAnsi" w:cstheme="minorHAnsi"/>
                <w:szCs w:val="22"/>
                <w:lang w:val="en-CK"/>
              </w:rPr>
              <w:t xml:space="preserve"> Despite these pressures, land continues to be valued and managed through relational and communal frameworks, with commercial use negotiated alongside responsibilities to family, place, and shared authority, resulting in ongoing tension between economic imperatives and cultural obligation</w:t>
            </w:r>
            <w:r w:rsidR="009C380B">
              <w:rPr>
                <w:rFonts w:asciiTheme="minorHAnsi" w:hAnsiTheme="minorHAnsi" w:cstheme="minorHAnsi"/>
                <w:szCs w:val="22"/>
                <w:lang w:val="en-CK"/>
              </w:rPr>
              <w:t>.</w:t>
            </w:r>
          </w:p>
          <w:p w14:paraId="5BFD3E4C" w14:textId="77777777" w:rsidR="006859B9" w:rsidRPr="00383BCD" w:rsidRDefault="006859B9" w:rsidP="006859B9">
            <w:pPr>
              <w:rPr>
                <w:rFonts w:asciiTheme="minorHAnsi" w:hAnsiTheme="minorHAnsi" w:cstheme="minorHAnsi"/>
                <w:i/>
                <w:color w:val="800080"/>
                <w:szCs w:val="22"/>
              </w:rPr>
            </w:pPr>
          </w:p>
          <w:p w14:paraId="7E8A64F7" w14:textId="77777777" w:rsidR="006859B9" w:rsidRPr="00383BCD" w:rsidRDefault="006859B9" w:rsidP="006859B9">
            <w:pPr>
              <w:rPr>
                <w:rFonts w:asciiTheme="minorHAnsi" w:hAnsiTheme="minorHAnsi" w:cstheme="minorHAnsi"/>
                <w:i/>
                <w:color w:val="800080"/>
                <w:szCs w:val="22"/>
              </w:rPr>
            </w:pPr>
          </w:p>
          <w:p w14:paraId="07F1A41D" w14:textId="77777777" w:rsidR="006859B9" w:rsidRPr="00383BCD" w:rsidRDefault="006859B9" w:rsidP="006859B9">
            <w:pPr>
              <w:rPr>
                <w:rFonts w:asciiTheme="minorHAnsi" w:hAnsiTheme="minorHAnsi" w:cstheme="minorHAnsi"/>
                <w:i/>
                <w:color w:val="800080"/>
                <w:szCs w:val="22"/>
              </w:rPr>
            </w:pPr>
          </w:p>
          <w:p w14:paraId="76D3C06E" w14:textId="6864B815" w:rsidR="006859B9" w:rsidRPr="00383BCD" w:rsidRDefault="006859B9" w:rsidP="006859B9">
            <w:pPr>
              <w:rPr>
                <w:rFonts w:asciiTheme="minorHAnsi" w:hAnsiTheme="minorHAnsi" w:cstheme="minorHAnsi"/>
                <w:i/>
                <w:color w:val="800080"/>
              </w:rPr>
            </w:pPr>
          </w:p>
        </w:tc>
      </w:tr>
    </w:tbl>
    <w:p w14:paraId="3E92E921" w14:textId="77777777" w:rsidR="006859B9" w:rsidRDefault="006859B9" w:rsidP="00CF05B4">
      <w:pPr>
        <w:ind w:left="2160"/>
        <w:rPr>
          <w:i/>
          <w:color w:val="800080"/>
        </w:rPr>
      </w:pPr>
    </w:p>
    <w:p w14:paraId="37F934A6" w14:textId="256B9F4C" w:rsidR="00CF05B4" w:rsidRDefault="006859B9" w:rsidP="00CF05B4">
      <w:pPr>
        <w:rPr>
          <w:i/>
          <w:color w:val="800080"/>
        </w:rPr>
      </w:pPr>
      <w:r>
        <w:rPr>
          <w:i/>
          <w:noProof/>
          <w:color w:val="800080"/>
        </w:rPr>
        <mc:AlternateContent>
          <mc:Choice Requires="wps">
            <w:drawing>
              <wp:anchor distT="0" distB="0" distL="114300" distR="114300" simplePos="0" relativeHeight="251659264" behindDoc="0" locked="0" layoutInCell="1" allowOverlap="1" wp14:anchorId="78881D20" wp14:editId="00DB8701">
                <wp:simplePos x="0" y="0"/>
                <wp:positionH relativeFrom="margin">
                  <wp:align>left</wp:align>
                </wp:positionH>
                <wp:positionV relativeFrom="paragraph">
                  <wp:posOffset>6349</wp:posOffset>
                </wp:positionV>
                <wp:extent cx="5848350" cy="9525"/>
                <wp:effectExtent l="0" t="0" r="19050" b="28575"/>
                <wp:wrapNone/>
                <wp:docPr id="171758330" name="Straight Connector 2"/>
                <wp:cNvGraphicFramePr/>
                <a:graphic xmlns:a="http://schemas.openxmlformats.org/drawingml/2006/main">
                  <a:graphicData uri="http://schemas.microsoft.com/office/word/2010/wordprocessingShape">
                    <wps:wsp>
                      <wps:cNvCnPr/>
                      <wps:spPr>
                        <a:xfrm flipV="1">
                          <a:off x="0" y="0"/>
                          <a:ext cx="58483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CC3D01" id="Straight Connector 2"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pt" to="46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" strokecolor="black [3040]">
                <w10:wrap anchorx="margin"/>
              </v:line>
            </w:pict>
          </mc:Fallback>
        </mc:AlternateContent>
      </w:r>
    </w:p>
    <w:p w14:paraId="6574200D" w14:textId="77777777" w:rsidR="00831C12" w:rsidRDefault="00831C12" w:rsidP="00CF05B4">
      <w:pPr>
        <w:pStyle w:val="BulletPoints"/>
        <w:numPr>
          <w:ilvl w:val="0"/>
          <w:numId w:val="0"/>
        </w:numPr>
        <w:jc w:val="left"/>
        <w:rPr>
          <w:b/>
        </w:rPr>
        <w:sectPr w:rsidR="00831C12" w:rsidSect="00AA704D">
          <w:type w:val="continuous"/>
          <w:pgSz w:w="11907" w:h="16840" w:code="9"/>
          <w:pgMar w:top="1418" w:right="1418" w:bottom="1276" w:left="1418" w:header="135" w:footer="397" w:gutter="0"/>
          <w:pgNumType w:start="1"/>
          <w:cols w:space="720"/>
          <w:formProt w:val="0"/>
          <w:titlePg/>
          <w:docGrid w:linePitch="299"/>
        </w:sectPr>
      </w:pPr>
    </w:p>
    <w:tbl>
      <w:tblPr>
        <w:tblW w:w="5103" w:type="dxa"/>
        <w:tblLayout w:type="fixed"/>
        <w:tblLook w:val="0000" w:firstRow="0" w:lastRow="0" w:firstColumn="0" w:lastColumn="0" w:noHBand="0" w:noVBand="0"/>
      </w:tblPr>
      <w:tblGrid>
        <w:gridCol w:w="5103"/>
      </w:tblGrid>
      <w:tr w:rsidR="006344A5" w14:paraId="37F934B3" w14:textId="77777777" w:rsidTr="00831C12">
        <w:trPr>
          <w:trHeight w:val="80"/>
        </w:trPr>
        <w:tc>
          <w:tcPr>
            <w:tcW w:w="5103" w:type="dxa"/>
          </w:tcPr>
          <w:p w14:paraId="7B008ACA" w14:textId="77777777" w:rsidR="005623E3" w:rsidRPr="00383BCD" w:rsidRDefault="005623E3" w:rsidP="00CF05B4">
            <w:pPr>
              <w:pStyle w:val="BulletPoints"/>
              <w:numPr>
                <w:ilvl w:val="0"/>
                <w:numId w:val="0"/>
              </w:numPr>
              <w:jc w:val="left"/>
              <w:rPr>
                <w:rFonts w:asciiTheme="minorHAnsi" w:hAnsiTheme="minorHAnsi" w:cstheme="minorHAnsi"/>
                <w:b/>
                <w:color w:val="864EA8" w:themeColor="accent1" w:themeShade="BF"/>
                <w:szCs w:val="24"/>
              </w:rPr>
            </w:pPr>
            <w:r w:rsidRPr="00383BCD">
              <w:rPr>
                <w:rFonts w:asciiTheme="minorHAnsi" w:hAnsiTheme="minorHAnsi" w:cstheme="minorHAnsi"/>
                <w:b/>
                <w:color w:val="864EA8" w:themeColor="accent1" w:themeShade="BF"/>
                <w:szCs w:val="24"/>
              </w:rPr>
              <w:t>What is the development issue?</w:t>
            </w:r>
          </w:p>
          <w:p w14:paraId="1BACA000" w14:textId="27696FAF" w:rsidR="00D05401" w:rsidRDefault="00D05401" w:rsidP="00D05401">
            <w:pPr>
              <w:pStyle w:val="BulletPoints"/>
              <w:numPr>
                <w:ilvl w:val="0"/>
                <w:numId w:val="0"/>
              </w:numPr>
              <w:rPr>
                <w:rFonts w:asciiTheme="minorHAnsi" w:hAnsiTheme="minorHAnsi" w:cstheme="minorHAnsi"/>
                <w:iCs/>
                <w:sz w:val="22"/>
                <w:szCs w:val="22"/>
                <w:lang w:val="en-CK"/>
              </w:rPr>
            </w:pPr>
            <w:r w:rsidRPr="00D05401">
              <w:rPr>
                <w:rFonts w:asciiTheme="minorHAnsi" w:hAnsiTheme="minorHAnsi" w:cstheme="minorHAnsi"/>
                <w:iCs/>
                <w:sz w:val="22"/>
                <w:szCs w:val="22"/>
                <w:lang w:val="en-CK"/>
              </w:rPr>
              <w:t>This research examines how tourism</w:t>
            </w:r>
            <w:r w:rsidRPr="00D05401">
              <w:rPr>
                <w:rFonts w:asciiTheme="minorHAnsi" w:hAnsiTheme="minorHAnsi" w:cstheme="minorHAnsi"/>
                <w:iCs/>
                <w:sz w:val="22"/>
                <w:szCs w:val="22"/>
                <w:lang w:val="en-CK"/>
              </w:rPr>
              <w:noBreakHyphen/>
              <w:t>led economic development is reshaping land tenure, land use, and land values in Rarotonga, particularly through the interaction between customary land tenure systems and market</w:t>
            </w:r>
            <w:r w:rsidRPr="00D05401">
              <w:rPr>
                <w:rFonts w:asciiTheme="minorHAnsi" w:hAnsiTheme="minorHAnsi" w:cstheme="minorHAnsi"/>
                <w:iCs/>
                <w:sz w:val="22"/>
                <w:szCs w:val="22"/>
                <w:lang w:val="en-CK"/>
              </w:rPr>
              <w:noBreakHyphen/>
              <w:t>based leasing arrangements. It focuses on how these systems operate in practice under increasing development pressure, and how landholders navigate competing economic imperatives and cultural responsibilities.</w:t>
            </w:r>
            <w:r w:rsidR="00F97284">
              <w:rPr>
                <w:rFonts w:asciiTheme="minorHAnsi" w:hAnsiTheme="minorHAnsi" w:cstheme="minorHAnsi"/>
                <w:iCs/>
                <w:sz w:val="22"/>
                <w:szCs w:val="22"/>
                <w:lang w:val="en-CK"/>
              </w:rPr>
              <w:t xml:space="preserve"> The aim and objectives of the research are as follows:</w:t>
            </w:r>
          </w:p>
          <w:p w14:paraId="323ADD82" w14:textId="77777777" w:rsidR="00F97284" w:rsidRDefault="00F97284" w:rsidP="00F97284">
            <w:pPr>
              <w:pStyle w:val="BulletPoints"/>
              <w:numPr>
                <w:ilvl w:val="0"/>
                <w:numId w:val="0"/>
              </w:numPr>
              <w:spacing w:after="0"/>
              <w:ind w:left="360"/>
              <w:jc w:val="left"/>
              <w:rPr>
                <w:rFonts w:asciiTheme="minorHAnsi" w:hAnsiTheme="minorHAnsi" w:cstheme="minorHAnsi"/>
                <w:iCs/>
                <w:sz w:val="22"/>
                <w:szCs w:val="22"/>
              </w:rPr>
            </w:pPr>
            <w:r w:rsidRPr="00432F28">
              <w:rPr>
                <w:rFonts w:asciiTheme="minorHAnsi" w:hAnsiTheme="minorHAnsi" w:cstheme="minorHAnsi"/>
                <w:i/>
                <w:sz w:val="22"/>
                <w:szCs w:val="22"/>
              </w:rPr>
              <w:t>Aim:</w:t>
            </w:r>
            <w:r>
              <w:rPr>
                <w:rFonts w:asciiTheme="minorHAnsi" w:hAnsiTheme="minorHAnsi" w:cstheme="minorHAnsi"/>
                <w:iCs/>
                <w:sz w:val="22"/>
                <w:szCs w:val="22"/>
              </w:rPr>
              <w:t xml:space="preserve"> To understand the relationship between land tenure and tourism development on Rarotonga and the changes over the past twenty years.</w:t>
            </w:r>
          </w:p>
          <w:p w14:paraId="17508977" w14:textId="77777777" w:rsidR="00F97284" w:rsidRPr="00432F28" w:rsidRDefault="00F97284" w:rsidP="00F97284">
            <w:pPr>
              <w:pStyle w:val="BulletPoints"/>
              <w:numPr>
                <w:ilvl w:val="0"/>
                <w:numId w:val="0"/>
              </w:numPr>
              <w:spacing w:after="0"/>
              <w:ind w:left="360"/>
              <w:jc w:val="left"/>
              <w:rPr>
                <w:rFonts w:asciiTheme="minorHAnsi" w:hAnsiTheme="minorHAnsi" w:cstheme="minorHAnsi"/>
                <w:iCs/>
                <w:sz w:val="22"/>
                <w:szCs w:val="22"/>
              </w:rPr>
            </w:pPr>
            <w:r w:rsidRPr="00432F28">
              <w:rPr>
                <w:rFonts w:asciiTheme="minorHAnsi" w:hAnsiTheme="minorHAnsi" w:cstheme="minorHAnsi"/>
                <w:i/>
                <w:sz w:val="22"/>
                <w:szCs w:val="22"/>
              </w:rPr>
              <w:t>Research question 1:</w:t>
            </w:r>
            <w:r>
              <w:rPr>
                <w:rFonts w:asciiTheme="minorHAnsi" w:hAnsiTheme="minorHAnsi" w:cstheme="minorHAnsi"/>
                <w:iCs/>
                <w:sz w:val="22"/>
                <w:szCs w:val="22"/>
              </w:rPr>
              <w:t xml:space="preserve"> </w:t>
            </w:r>
            <w:r w:rsidRPr="00432F28">
              <w:rPr>
                <w:rFonts w:asciiTheme="minorHAnsi" w:hAnsiTheme="minorHAnsi" w:cstheme="minorHAnsi"/>
                <w:iCs/>
                <w:sz w:val="22"/>
                <w:szCs w:val="22"/>
              </w:rPr>
              <w:t xml:space="preserve">How does land tenure affect tourism development? </w:t>
            </w:r>
          </w:p>
          <w:p w14:paraId="07B6476A" w14:textId="77777777" w:rsidR="00F97284" w:rsidRPr="00432F28" w:rsidRDefault="00F97284" w:rsidP="00F97284">
            <w:pPr>
              <w:pStyle w:val="BulletPoints"/>
              <w:numPr>
                <w:ilvl w:val="0"/>
                <w:numId w:val="0"/>
              </w:numPr>
              <w:spacing w:after="0"/>
              <w:ind w:left="360"/>
              <w:jc w:val="left"/>
              <w:rPr>
                <w:rFonts w:asciiTheme="minorHAnsi" w:hAnsiTheme="minorHAnsi" w:cstheme="minorHAnsi"/>
                <w:iCs/>
                <w:sz w:val="22"/>
                <w:szCs w:val="22"/>
              </w:rPr>
            </w:pPr>
            <w:r w:rsidRPr="00432F28">
              <w:rPr>
                <w:rFonts w:asciiTheme="minorHAnsi" w:hAnsiTheme="minorHAnsi" w:cstheme="minorHAnsi"/>
                <w:i/>
                <w:sz w:val="22"/>
                <w:szCs w:val="22"/>
              </w:rPr>
              <w:t>Objective A:</w:t>
            </w:r>
            <w:r w:rsidRPr="00432F28">
              <w:rPr>
                <w:rFonts w:asciiTheme="minorHAnsi" w:hAnsiTheme="minorHAnsi" w:cstheme="minorHAnsi"/>
                <w:iCs/>
                <w:sz w:val="22"/>
                <w:szCs w:val="22"/>
              </w:rPr>
              <w:t xml:space="preserve"> Examine the customary approaches and legal postcolonial governance structures of land tenure on Rarotonga. </w:t>
            </w:r>
          </w:p>
          <w:p w14:paraId="76DE7549" w14:textId="77777777" w:rsidR="00F97284" w:rsidRDefault="00F97284" w:rsidP="00F97284">
            <w:pPr>
              <w:pStyle w:val="BulletPoints"/>
              <w:numPr>
                <w:ilvl w:val="0"/>
                <w:numId w:val="0"/>
              </w:numPr>
              <w:spacing w:after="0"/>
              <w:ind w:left="360"/>
              <w:jc w:val="left"/>
              <w:rPr>
                <w:rFonts w:asciiTheme="minorHAnsi" w:hAnsiTheme="minorHAnsi" w:cstheme="minorHAnsi"/>
                <w:iCs/>
                <w:sz w:val="22"/>
                <w:szCs w:val="22"/>
              </w:rPr>
            </w:pPr>
            <w:r w:rsidRPr="00432F28">
              <w:rPr>
                <w:rFonts w:asciiTheme="minorHAnsi" w:hAnsiTheme="minorHAnsi" w:cstheme="minorHAnsi"/>
                <w:i/>
                <w:sz w:val="22"/>
                <w:szCs w:val="22"/>
              </w:rPr>
              <w:t>Objective B:</w:t>
            </w:r>
            <w:r w:rsidRPr="00432F28">
              <w:rPr>
                <w:rFonts w:asciiTheme="minorHAnsi" w:hAnsiTheme="minorHAnsi" w:cstheme="minorHAnsi"/>
                <w:iCs/>
                <w:sz w:val="22"/>
                <w:szCs w:val="22"/>
              </w:rPr>
              <w:t xml:space="preserve"> Explore the influence that land tenure has had on tourism development from the perspective of </w:t>
            </w:r>
            <w:r>
              <w:rPr>
                <w:rFonts w:asciiTheme="minorHAnsi" w:hAnsiTheme="minorHAnsi" w:cstheme="minorHAnsi"/>
                <w:iCs/>
                <w:sz w:val="22"/>
                <w:szCs w:val="22"/>
              </w:rPr>
              <w:t>landholders on Rarotonga.</w:t>
            </w:r>
          </w:p>
          <w:p w14:paraId="4F46722C" w14:textId="77777777" w:rsidR="00F97284" w:rsidRDefault="00F97284" w:rsidP="00F97284">
            <w:pPr>
              <w:pStyle w:val="BulletPoints"/>
              <w:numPr>
                <w:ilvl w:val="0"/>
                <w:numId w:val="0"/>
              </w:numPr>
              <w:spacing w:after="0"/>
              <w:ind w:left="360"/>
              <w:jc w:val="left"/>
              <w:rPr>
                <w:rFonts w:asciiTheme="minorHAnsi" w:hAnsiTheme="minorHAnsi" w:cstheme="minorHAnsi"/>
                <w:iCs/>
                <w:sz w:val="22"/>
                <w:szCs w:val="22"/>
              </w:rPr>
            </w:pPr>
            <w:r>
              <w:rPr>
                <w:rFonts w:asciiTheme="minorHAnsi" w:hAnsiTheme="minorHAnsi" w:cstheme="minorHAnsi"/>
                <w:i/>
                <w:sz w:val="22"/>
                <w:szCs w:val="22"/>
              </w:rPr>
              <w:t>Research question 2:</w:t>
            </w:r>
            <w:r>
              <w:rPr>
                <w:rFonts w:asciiTheme="minorHAnsi" w:hAnsiTheme="minorHAnsi" w:cstheme="minorHAnsi"/>
                <w:iCs/>
                <w:sz w:val="22"/>
                <w:szCs w:val="22"/>
              </w:rPr>
              <w:t xml:space="preserve"> How does tourism affect land tenure?</w:t>
            </w:r>
          </w:p>
          <w:p w14:paraId="454CE6B1" w14:textId="48B79F73" w:rsidR="00F97284" w:rsidRPr="00F97284" w:rsidRDefault="00F97284" w:rsidP="00F97284">
            <w:pPr>
              <w:pStyle w:val="BulletPoints"/>
              <w:numPr>
                <w:ilvl w:val="0"/>
                <w:numId w:val="0"/>
              </w:numPr>
              <w:spacing w:after="0"/>
              <w:ind w:left="360"/>
              <w:jc w:val="left"/>
              <w:rPr>
                <w:rFonts w:asciiTheme="minorHAnsi" w:hAnsiTheme="minorHAnsi" w:cstheme="minorHAnsi"/>
                <w:iCs/>
                <w:sz w:val="22"/>
                <w:szCs w:val="22"/>
              </w:rPr>
            </w:pPr>
            <w:r>
              <w:rPr>
                <w:rFonts w:asciiTheme="minorHAnsi" w:hAnsiTheme="minorHAnsi" w:cstheme="minorHAnsi"/>
                <w:i/>
                <w:sz w:val="22"/>
                <w:szCs w:val="22"/>
              </w:rPr>
              <w:t>Objective C:</w:t>
            </w:r>
            <w:r>
              <w:rPr>
                <w:rFonts w:asciiTheme="minorHAnsi" w:hAnsiTheme="minorHAnsi" w:cstheme="minorHAnsi"/>
                <w:iCs/>
                <w:sz w:val="22"/>
                <w:szCs w:val="22"/>
              </w:rPr>
              <w:t xml:space="preserve"> Explore the influence that tourism development has had on land use and land tenure from the perspectives of landholders on Rarotonga. </w:t>
            </w:r>
          </w:p>
          <w:p w14:paraId="4D9218C7" w14:textId="77777777" w:rsidR="00F97284" w:rsidRDefault="00F97284" w:rsidP="003306FA">
            <w:pPr>
              <w:pStyle w:val="BulletPoints"/>
              <w:numPr>
                <w:ilvl w:val="0"/>
                <w:numId w:val="0"/>
              </w:numPr>
              <w:jc w:val="left"/>
              <w:rPr>
                <w:rFonts w:asciiTheme="minorHAnsi" w:hAnsiTheme="minorHAnsi" w:cstheme="minorHAnsi"/>
                <w:iCs/>
                <w:sz w:val="22"/>
                <w:szCs w:val="22"/>
                <w:lang w:val="en-CK"/>
              </w:rPr>
            </w:pPr>
          </w:p>
          <w:p w14:paraId="1CCD6386" w14:textId="4F2B5CC0" w:rsidR="004B7978" w:rsidRPr="00CB6449" w:rsidRDefault="004B7978" w:rsidP="003306FA">
            <w:pPr>
              <w:pStyle w:val="BulletPoints"/>
              <w:numPr>
                <w:ilvl w:val="0"/>
                <w:numId w:val="0"/>
              </w:numPr>
              <w:jc w:val="left"/>
              <w:rPr>
                <w:rFonts w:asciiTheme="minorHAnsi" w:hAnsiTheme="minorHAnsi" w:cstheme="minorHAnsi"/>
                <w:iCs/>
                <w:sz w:val="22"/>
                <w:szCs w:val="22"/>
                <w:lang w:val="en-CK"/>
              </w:rPr>
            </w:pPr>
            <w:r w:rsidRPr="004B7978">
              <w:rPr>
                <w:rFonts w:asciiTheme="minorHAnsi" w:hAnsiTheme="minorHAnsi" w:cstheme="minorHAnsi"/>
                <w:iCs/>
                <w:sz w:val="22"/>
                <w:szCs w:val="22"/>
                <w:lang w:val="en-CK"/>
              </w:rPr>
              <w:t>Tourism is the primary economic driver of the Cook Islands and a central pillar of national development strategy</w:t>
            </w:r>
            <w:r>
              <w:rPr>
                <w:rFonts w:asciiTheme="minorHAnsi" w:hAnsiTheme="minorHAnsi" w:cstheme="minorHAnsi"/>
                <w:iCs/>
                <w:sz w:val="22"/>
                <w:szCs w:val="22"/>
                <w:lang w:val="en-CK"/>
              </w:rPr>
              <w:t xml:space="preserve"> (Becken et al., 2025)</w:t>
            </w:r>
            <w:r w:rsidRPr="004B7978">
              <w:rPr>
                <w:rFonts w:asciiTheme="minorHAnsi" w:hAnsiTheme="minorHAnsi" w:cstheme="minorHAnsi"/>
                <w:iCs/>
                <w:sz w:val="22"/>
                <w:szCs w:val="22"/>
                <w:lang w:val="en-CK"/>
              </w:rPr>
              <w:t xml:space="preserve">. On Rarotonga, tourism growth has intensified demand for land for accommodation, infrastructure, and related services. </w:t>
            </w:r>
            <w:r w:rsidR="0062361B">
              <w:rPr>
                <w:rFonts w:asciiTheme="minorHAnsi" w:hAnsiTheme="minorHAnsi" w:cstheme="minorHAnsi"/>
                <w:iCs/>
                <w:sz w:val="22"/>
                <w:szCs w:val="22"/>
              </w:rPr>
              <w:t xml:space="preserve">See Appendices, figure 1 for aerial shots of Muri area </w:t>
            </w:r>
            <w:r w:rsidR="00831993">
              <w:rPr>
                <w:rFonts w:asciiTheme="minorHAnsi" w:hAnsiTheme="minorHAnsi" w:cstheme="minorHAnsi"/>
                <w:iCs/>
                <w:sz w:val="22"/>
                <w:szCs w:val="22"/>
              </w:rPr>
              <w:t xml:space="preserve">on Rarotonga </w:t>
            </w:r>
            <w:r w:rsidR="0062361B">
              <w:rPr>
                <w:rFonts w:asciiTheme="minorHAnsi" w:hAnsiTheme="minorHAnsi" w:cstheme="minorHAnsi"/>
                <w:iCs/>
                <w:sz w:val="22"/>
                <w:szCs w:val="22"/>
              </w:rPr>
              <w:t>(prime tourist area) to highlight the difference in development between 2005-2025. On Rarotonga, almost all</w:t>
            </w:r>
            <w:r w:rsidRPr="004B7978">
              <w:rPr>
                <w:rFonts w:asciiTheme="minorHAnsi" w:hAnsiTheme="minorHAnsi" w:cstheme="minorHAnsi"/>
                <w:iCs/>
                <w:sz w:val="22"/>
                <w:szCs w:val="22"/>
                <w:lang w:val="en-CK"/>
              </w:rPr>
              <w:t xml:space="preserve"> land is held under </w:t>
            </w:r>
            <w:r>
              <w:rPr>
                <w:rFonts w:asciiTheme="minorHAnsi" w:hAnsiTheme="minorHAnsi" w:cstheme="minorHAnsi"/>
                <w:iCs/>
                <w:sz w:val="22"/>
                <w:szCs w:val="22"/>
                <w:lang w:val="en-CK"/>
              </w:rPr>
              <w:t xml:space="preserve">native freehold title that applies </w:t>
            </w:r>
            <w:r w:rsidRPr="004B7978">
              <w:rPr>
                <w:rFonts w:asciiTheme="minorHAnsi" w:hAnsiTheme="minorHAnsi" w:cstheme="minorHAnsi"/>
                <w:iCs/>
                <w:sz w:val="22"/>
                <w:szCs w:val="22"/>
                <w:lang w:val="en-CK"/>
              </w:rPr>
              <w:t xml:space="preserve">customary tenure, governed by communal ownership, inherited rights, and shared </w:t>
            </w:r>
            <w:r w:rsidRPr="004B7978">
              <w:rPr>
                <w:rFonts w:asciiTheme="minorHAnsi" w:hAnsiTheme="minorHAnsi" w:cstheme="minorHAnsi"/>
                <w:iCs/>
                <w:sz w:val="22"/>
                <w:szCs w:val="22"/>
                <w:lang w:val="en-CK"/>
              </w:rPr>
              <w:lastRenderedPageBreak/>
              <w:t>authority</w:t>
            </w:r>
            <w:r>
              <w:rPr>
                <w:rFonts w:asciiTheme="minorHAnsi" w:hAnsiTheme="minorHAnsi" w:cstheme="minorHAnsi"/>
                <w:iCs/>
                <w:sz w:val="22"/>
                <w:szCs w:val="22"/>
                <w:lang w:val="en-CK"/>
              </w:rPr>
              <w:t xml:space="preserve"> (Marshall, 2018)</w:t>
            </w:r>
            <w:r w:rsidRPr="004B7978">
              <w:rPr>
                <w:rFonts w:asciiTheme="minorHAnsi" w:hAnsiTheme="minorHAnsi" w:cstheme="minorHAnsi"/>
                <w:iCs/>
                <w:sz w:val="22"/>
                <w:szCs w:val="22"/>
                <w:lang w:val="en-CK"/>
              </w:rPr>
              <w:t>. Development therefore occurs within a hybrid system where customary land relations intersect with legal, market</w:t>
            </w:r>
            <w:r w:rsidRPr="004B7978">
              <w:rPr>
                <w:rFonts w:asciiTheme="minorHAnsi" w:hAnsiTheme="minorHAnsi" w:cstheme="minorHAnsi"/>
                <w:iCs/>
                <w:sz w:val="22"/>
                <w:szCs w:val="22"/>
                <w:lang w:val="en-CK"/>
              </w:rPr>
              <w:noBreakHyphen/>
              <w:t>based mechanisms such as leasing and finance</w:t>
            </w:r>
            <w:r>
              <w:rPr>
                <w:rFonts w:asciiTheme="minorHAnsi" w:hAnsiTheme="minorHAnsi" w:cstheme="minorHAnsi"/>
                <w:iCs/>
                <w:sz w:val="22"/>
                <w:szCs w:val="22"/>
                <w:lang w:val="en-CK"/>
              </w:rPr>
              <w:t xml:space="preserve"> (Horan, 2012)</w:t>
            </w:r>
            <w:r w:rsidRPr="004B7978">
              <w:rPr>
                <w:rFonts w:asciiTheme="minorHAnsi" w:hAnsiTheme="minorHAnsi" w:cstheme="minorHAnsi"/>
                <w:iCs/>
                <w:sz w:val="22"/>
                <w:szCs w:val="22"/>
                <w:lang w:val="en-CK"/>
              </w:rPr>
              <w:t>. This context creates both opportunities for economic participation and significant governance challenges.</w:t>
            </w:r>
            <w:r w:rsidR="003306FA">
              <w:rPr>
                <w:rFonts w:asciiTheme="minorHAnsi" w:hAnsiTheme="minorHAnsi" w:cstheme="minorHAnsi"/>
                <w:iCs/>
                <w:sz w:val="22"/>
                <w:szCs w:val="22"/>
                <w:lang w:val="en-CK"/>
              </w:rPr>
              <w:t xml:space="preserve"> The stakeholders involved is as follows:</w:t>
            </w:r>
          </w:p>
          <w:p w14:paraId="67CA99F0" w14:textId="1F320FE5" w:rsidR="004B7978" w:rsidRDefault="004B7978" w:rsidP="00A25B4F">
            <w:pPr>
              <w:pStyle w:val="BulletPoints"/>
              <w:numPr>
                <w:ilvl w:val="0"/>
                <w:numId w:val="23"/>
              </w:numPr>
              <w:spacing w:after="0"/>
              <w:jc w:val="left"/>
              <w:rPr>
                <w:rFonts w:asciiTheme="minorHAnsi" w:hAnsiTheme="minorHAnsi" w:cstheme="minorHAnsi"/>
                <w:iCs/>
                <w:sz w:val="22"/>
                <w:szCs w:val="22"/>
              </w:rPr>
            </w:pPr>
            <w:r>
              <w:rPr>
                <w:rFonts w:asciiTheme="minorHAnsi" w:hAnsiTheme="minorHAnsi" w:cstheme="minorHAnsi"/>
                <w:iCs/>
                <w:sz w:val="22"/>
                <w:szCs w:val="22"/>
              </w:rPr>
              <w:t xml:space="preserve">Landholders and </w:t>
            </w:r>
            <w:proofErr w:type="spellStart"/>
            <w:r>
              <w:rPr>
                <w:rFonts w:asciiTheme="minorHAnsi" w:hAnsiTheme="minorHAnsi" w:cstheme="minorHAnsi"/>
                <w:iCs/>
                <w:sz w:val="22"/>
                <w:szCs w:val="22"/>
              </w:rPr>
              <w:t>kopu</w:t>
            </w:r>
            <w:proofErr w:type="spellEnd"/>
            <w:r>
              <w:rPr>
                <w:rFonts w:asciiTheme="minorHAnsi" w:hAnsiTheme="minorHAnsi" w:cstheme="minorHAnsi"/>
                <w:iCs/>
                <w:sz w:val="22"/>
                <w:szCs w:val="22"/>
              </w:rPr>
              <w:t xml:space="preserve"> </w:t>
            </w:r>
            <w:proofErr w:type="spellStart"/>
            <w:r>
              <w:rPr>
                <w:rFonts w:asciiTheme="minorHAnsi" w:hAnsiTheme="minorHAnsi" w:cstheme="minorHAnsi"/>
                <w:iCs/>
                <w:sz w:val="22"/>
                <w:szCs w:val="22"/>
              </w:rPr>
              <w:t>tangata</w:t>
            </w:r>
            <w:proofErr w:type="spellEnd"/>
            <w:r>
              <w:rPr>
                <w:rFonts w:asciiTheme="minorHAnsi" w:hAnsiTheme="minorHAnsi" w:cstheme="minorHAnsi"/>
                <w:iCs/>
                <w:sz w:val="22"/>
                <w:szCs w:val="22"/>
              </w:rPr>
              <w:t xml:space="preserve"> (extended families), who retain rights and responsibilities over land</w:t>
            </w:r>
          </w:p>
          <w:p w14:paraId="73105CC0" w14:textId="4D990DB5" w:rsidR="00A25B4F" w:rsidRDefault="00A25B4F" w:rsidP="00A25B4F">
            <w:pPr>
              <w:pStyle w:val="BulletPoints"/>
              <w:numPr>
                <w:ilvl w:val="0"/>
                <w:numId w:val="23"/>
              </w:numPr>
              <w:spacing w:after="0"/>
              <w:jc w:val="left"/>
              <w:rPr>
                <w:rFonts w:asciiTheme="minorHAnsi" w:hAnsiTheme="minorHAnsi" w:cstheme="minorHAnsi"/>
                <w:iCs/>
                <w:sz w:val="22"/>
                <w:szCs w:val="22"/>
              </w:rPr>
            </w:pPr>
            <w:r>
              <w:rPr>
                <w:rFonts w:asciiTheme="minorHAnsi" w:hAnsiTheme="minorHAnsi" w:cstheme="minorHAnsi"/>
                <w:iCs/>
                <w:sz w:val="22"/>
                <w:szCs w:val="22"/>
              </w:rPr>
              <w:t>Lineage authorities such as chairperson, secretary to coordinate family meetings</w:t>
            </w:r>
          </w:p>
          <w:p w14:paraId="1CCBAEEC" w14:textId="4A47BC27" w:rsidR="004B7978" w:rsidRDefault="004B7978" w:rsidP="00A25B4F">
            <w:pPr>
              <w:pStyle w:val="BulletPoints"/>
              <w:numPr>
                <w:ilvl w:val="0"/>
                <w:numId w:val="23"/>
              </w:numPr>
              <w:spacing w:after="0"/>
              <w:jc w:val="left"/>
              <w:rPr>
                <w:rFonts w:asciiTheme="minorHAnsi" w:hAnsiTheme="minorHAnsi" w:cstheme="minorHAnsi"/>
                <w:iCs/>
                <w:sz w:val="22"/>
                <w:szCs w:val="22"/>
              </w:rPr>
            </w:pPr>
            <w:r>
              <w:rPr>
                <w:rFonts w:asciiTheme="minorHAnsi" w:hAnsiTheme="minorHAnsi" w:cstheme="minorHAnsi"/>
                <w:iCs/>
                <w:sz w:val="22"/>
                <w:szCs w:val="22"/>
              </w:rPr>
              <w:t>Government institutions such as the Ministry of Justice</w:t>
            </w:r>
            <w:r w:rsidR="00A25B4F">
              <w:rPr>
                <w:rFonts w:asciiTheme="minorHAnsi" w:hAnsiTheme="minorHAnsi" w:cstheme="minorHAnsi"/>
                <w:iCs/>
                <w:sz w:val="22"/>
                <w:szCs w:val="22"/>
              </w:rPr>
              <w:t xml:space="preserve"> through the court administration, lawyers, judges, land agents, surveyors</w:t>
            </w:r>
          </w:p>
          <w:p w14:paraId="0E9C10C9" w14:textId="02FF08B9" w:rsidR="00A25B4F" w:rsidRDefault="00A25B4F" w:rsidP="00A25B4F">
            <w:pPr>
              <w:pStyle w:val="BulletPoints"/>
              <w:numPr>
                <w:ilvl w:val="0"/>
                <w:numId w:val="23"/>
              </w:numPr>
              <w:spacing w:after="0"/>
              <w:jc w:val="left"/>
              <w:rPr>
                <w:rFonts w:asciiTheme="minorHAnsi" w:hAnsiTheme="minorHAnsi" w:cstheme="minorHAnsi"/>
                <w:iCs/>
                <w:sz w:val="22"/>
                <w:szCs w:val="22"/>
              </w:rPr>
            </w:pPr>
            <w:r>
              <w:rPr>
                <w:rFonts w:asciiTheme="minorHAnsi" w:hAnsiTheme="minorHAnsi" w:cstheme="minorHAnsi"/>
                <w:iCs/>
                <w:sz w:val="22"/>
                <w:szCs w:val="22"/>
              </w:rPr>
              <w:t>Tourism developers and investors both local and external</w:t>
            </w:r>
          </w:p>
          <w:p w14:paraId="116E6CFF" w14:textId="7D2E5F3D" w:rsidR="00A25B4F" w:rsidRDefault="00A25B4F" w:rsidP="00A25B4F">
            <w:pPr>
              <w:pStyle w:val="BulletPoints"/>
              <w:numPr>
                <w:ilvl w:val="0"/>
                <w:numId w:val="23"/>
              </w:numPr>
              <w:spacing w:after="0"/>
              <w:jc w:val="left"/>
              <w:rPr>
                <w:rFonts w:asciiTheme="minorHAnsi" w:hAnsiTheme="minorHAnsi" w:cstheme="minorHAnsi"/>
                <w:iCs/>
                <w:sz w:val="22"/>
                <w:szCs w:val="22"/>
              </w:rPr>
            </w:pPr>
            <w:r>
              <w:rPr>
                <w:rFonts w:asciiTheme="minorHAnsi" w:hAnsiTheme="minorHAnsi" w:cstheme="minorHAnsi"/>
                <w:iCs/>
                <w:sz w:val="22"/>
                <w:szCs w:val="22"/>
              </w:rPr>
              <w:t>Financial institutions, which enable development through lending linked to lease arrangements such as the banks</w:t>
            </w:r>
          </w:p>
          <w:p w14:paraId="6E13A836" w14:textId="5C219C0B" w:rsidR="00A25B4F" w:rsidRDefault="00A25B4F" w:rsidP="00A25B4F">
            <w:pPr>
              <w:pStyle w:val="BulletPoints"/>
              <w:numPr>
                <w:ilvl w:val="0"/>
                <w:numId w:val="23"/>
              </w:numPr>
              <w:spacing w:after="0"/>
              <w:jc w:val="left"/>
              <w:rPr>
                <w:rFonts w:asciiTheme="minorHAnsi" w:hAnsiTheme="minorHAnsi" w:cstheme="minorHAnsi"/>
                <w:iCs/>
                <w:sz w:val="22"/>
                <w:szCs w:val="22"/>
              </w:rPr>
            </w:pPr>
            <w:r>
              <w:rPr>
                <w:rFonts w:asciiTheme="minorHAnsi" w:hAnsiTheme="minorHAnsi" w:cstheme="minorHAnsi"/>
                <w:iCs/>
                <w:sz w:val="22"/>
                <w:szCs w:val="22"/>
              </w:rPr>
              <w:t>Communities more broadly, who experience the social, cultural, and environmental impacts of development such as rising prices of goods, lack of access to public beaches etc</w:t>
            </w:r>
          </w:p>
          <w:p w14:paraId="2458F5D0" w14:textId="0B37186B" w:rsidR="00CB6449" w:rsidRDefault="00CB6449" w:rsidP="00D01590">
            <w:pPr>
              <w:pStyle w:val="BulletPoints"/>
              <w:numPr>
                <w:ilvl w:val="0"/>
                <w:numId w:val="0"/>
              </w:numPr>
              <w:spacing w:after="0"/>
              <w:ind w:left="360"/>
              <w:jc w:val="left"/>
              <w:rPr>
                <w:rFonts w:asciiTheme="minorHAnsi" w:hAnsiTheme="minorHAnsi" w:cstheme="minorHAnsi"/>
                <w:iCs/>
                <w:sz w:val="22"/>
                <w:szCs w:val="22"/>
              </w:rPr>
            </w:pPr>
            <w:r>
              <w:rPr>
                <w:rFonts w:asciiTheme="minorHAnsi" w:hAnsiTheme="minorHAnsi" w:cstheme="minorHAnsi"/>
                <w:iCs/>
                <w:sz w:val="22"/>
                <w:szCs w:val="22"/>
              </w:rPr>
              <w:t xml:space="preserve">See Appendices, figure </w:t>
            </w:r>
            <w:r w:rsidR="0062361B">
              <w:rPr>
                <w:rFonts w:asciiTheme="minorHAnsi" w:hAnsiTheme="minorHAnsi" w:cstheme="minorHAnsi"/>
                <w:iCs/>
                <w:sz w:val="22"/>
                <w:szCs w:val="22"/>
              </w:rPr>
              <w:t>2</w:t>
            </w:r>
            <w:r>
              <w:rPr>
                <w:rFonts w:asciiTheme="minorHAnsi" w:hAnsiTheme="minorHAnsi" w:cstheme="minorHAnsi"/>
                <w:iCs/>
                <w:sz w:val="22"/>
                <w:szCs w:val="22"/>
              </w:rPr>
              <w:t>: ‘</w:t>
            </w:r>
            <w:proofErr w:type="spellStart"/>
            <w:r>
              <w:rPr>
                <w:rFonts w:asciiTheme="minorHAnsi" w:hAnsiTheme="minorHAnsi" w:cstheme="minorHAnsi"/>
                <w:iCs/>
                <w:sz w:val="22"/>
                <w:szCs w:val="22"/>
              </w:rPr>
              <w:t>Akapapa’anga</w:t>
            </w:r>
            <w:proofErr w:type="spellEnd"/>
            <w:r>
              <w:rPr>
                <w:rFonts w:asciiTheme="minorHAnsi" w:hAnsiTheme="minorHAnsi" w:cstheme="minorHAnsi"/>
                <w:iCs/>
                <w:sz w:val="22"/>
                <w:szCs w:val="22"/>
              </w:rPr>
              <w:t>: A culturally embedded approach for a holistic view of the stakeholders/actors involved</w:t>
            </w:r>
            <w:r w:rsidR="008726E2">
              <w:rPr>
                <w:rFonts w:asciiTheme="minorHAnsi" w:hAnsiTheme="minorHAnsi" w:cstheme="minorHAnsi"/>
                <w:iCs/>
                <w:sz w:val="22"/>
                <w:szCs w:val="22"/>
              </w:rPr>
              <w:t xml:space="preserve"> and the intersection at the development interface.</w:t>
            </w:r>
          </w:p>
          <w:p w14:paraId="196AB974" w14:textId="77777777" w:rsidR="00A25B4F" w:rsidRPr="00A62056" w:rsidRDefault="00A25B4F" w:rsidP="003306FA">
            <w:pPr>
              <w:pStyle w:val="BulletPoints"/>
              <w:numPr>
                <w:ilvl w:val="0"/>
                <w:numId w:val="0"/>
              </w:numPr>
              <w:spacing w:after="0"/>
              <w:jc w:val="left"/>
              <w:rPr>
                <w:rFonts w:asciiTheme="minorHAnsi" w:hAnsiTheme="minorHAnsi" w:cstheme="minorHAnsi"/>
                <w:iCs/>
                <w:sz w:val="22"/>
                <w:szCs w:val="22"/>
              </w:rPr>
            </w:pPr>
          </w:p>
          <w:p w14:paraId="21561CDB" w14:textId="33BFFA4F" w:rsidR="00A25B4F" w:rsidRPr="003306FA" w:rsidRDefault="00772D43" w:rsidP="003306FA">
            <w:pPr>
              <w:pStyle w:val="BulletPoints"/>
              <w:numPr>
                <w:ilvl w:val="0"/>
                <w:numId w:val="0"/>
              </w:numPr>
              <w:ind w:left="360"/>
              <w:jc w:val="left"/>
              <w:rPr>
                <w:rFonts w:asciiTheme="minorHAnsi" w:hAnsiTheme="minorHAnsi" w:cstheme="minorHAnsi"/>
                <w:iCs/>
                <w:szCs w:val="22"/>
                <w:lang w:val="en-CK"/>
              </w:rPr>
            </w:pPr>
            <w:r w:rsidRPr="00772D43">
              <w:rPr>
                <w:rFonts w:asciiTheme="minorHAnsi" w:hAnsiTheme="minorHAnsi" w:cstheme="minorHAnsi"/>
                <w:iCs/>
                <w:sz w:val="22"/>
                <w:szCs w:val="22"/>
                <w:lang w:val="en-CK"/>
              </w:rPr>
              <w:t>While the Cook Islands has a small population, the scale of tourism</w:t>
            </w:r>
            <w:r w:rsidRPr="00772D43">
              <w:rPr>
                <w:rFonts w:asciiTheme="minorHAnsi" w:hAnsiTheme="minorHAnsi" w:cstheme="minorHAnsi"/>
                <w:iCs/>
                <w:sz w:val="22"/>
                <w:szCs w:val="22"/>
                <w:lang w:val="en-CK"/>
              </w:rPr>
              <w:noBreakHyphen/>
              <w:t>related pressures is significant relative to the country’s land area, infrastructure, and governance capacity. Visitor arrivals have now surpassed pre</w:t>
            </w:r>
            <w:r w:rsidRPr="00772D43">
              <w:rPr>
                <w:rFonts w:asciiTheme="minorHAnsi" w:hAnsiTheme="minorHAnsi" w:cstheme="minorHAnsi"/>
                <w:iCs/>
                <w:sz w:val="22"/>
                <w:szCs w:val="22"/>
                <w:lang w:val="en-CK"/>
              </w:rPr>
              <w:noBreakHyphen/>
              <w:t xml:space="preserve">pandemic levels, with July 2025 arrivals exceeding </w:t>
            </w:r>
            <w:r w:rsidR="00BC7B5B">
              <w:rPr>
                <w:rFonts w:asciiTheme="minorHAnsi" w:hAnsiTheme="minorHAnsi" w:cstheme="minorHAnsi"/>
                <w:iCs/>
                <w:sz w:val="22"/>
                <w:szCs w:val="22"/>
                <w:lang w:val="en-CK"/>
              </w:rPr>
              <w:t xml:space="preserve">July </w:t>
            </w:r>
            <w:r w:rsidRPr="00772D43">
              <w:rPr>
                <w:rFonts w:asciiTheme="minorHAnsi" w:hAnsiTheme="minorHAnsi" w:cstheme="minorHAnsi"/>
                <w:iCs/>
                <w:sz w:val="22"/>
                <w:szCs w:val="22"/>
                <w:lang w:val="en-CK"/>
              </w:rPr>
              <w:t>2019 figures by 7.3% (Cook Islands Statistics Office, 2025). Research indicates that visitor volumes are a</w:t>
            </w:r>
            <w:r w:rsidR="00BC7B5B">
              <w:rPr>
                <w:rFonts w:asciiTheme="minorHAnsi" w:hAnsiTheme="minorHAnsi" w:cstheme="minorHAnsi"/>
                <w:iCs/>
                <w:sz w:val="22"/>
                <w:szCs w:val="22"/>
                <w:lang w:val="en-CK"/>
              </w:rPr>
              <w:t>t peak levels</w:t>
            </w:r>
            <w:r w:rsidRPr="00772D43">
              <w:rPr>
                <w:rFonts w:asciiTheme="minorHAnsi" w:hAnsiTheme="minorHAnsi" w:cstheme="minorHAnsi"/>
                <w:iCs/>
                <w:sz w:val="22"/>
                <w:szCs w:val="22"/>
                <w:lang w:val="en-CK"/>
              </w:rPr>
              <w:t>, and in some cases exceeding, Rarotonga’s ecological and social carrying capacity, intensifying environmental pressures and infrastructure strain (Evans, 2011; Becken et al., 2025).</w:t>
            </w:r>
            <w:r w:rsidRPr="000924FF">
              <w:rPr>
                <w:rFonts w:asciiTheme="minorHAnsi" w:hAnsiTheme="minorHAnsi" w:cstheme="minorHAnsi"/>
                <w:iCs/>
                <w:sz w:val="22"/>
                <w:szCs w:val="22"/>
                <w:lang w:val="en-CK"/>
              </w:rPr>
              <w:t xml:space="preserve"> Key impacts include pressure on solid waste management, freshwater supply, and wastewater systems. The expansion of short</w:t>
            </w:r>
            <w:r w:rsidRPr="000924FF">
              <w:rPr>
                <w:rFonts w:asciiTheme="minorHAnsi" w:hAnsiTheme="minorHAnsi" w:cstheme="minorHAnsi"/>
                <w:iCs/>
                <w:sz w:val="22"/>
                <w:szCs w:val="22"/>
                <w:lang w:val="en-CK"/>
              </w:rPr>
              <w:noBreakHyphen/>
              <w:t>term rentals has also reduced the availability of long</w:t>
            </w:r>
            <w:r w:rsidRPr="000924FF">
              <w:rPr>
                <w:rFonts w:asciiTheme="minorHAnsi" w:hAnsiTheme="minorHAnsi" w:cstheme="minorHAnsi"/>
                <w:iCs/>
                <w:sz w:val="22"/>
                <w:szCs w:val="22"/>
                <w:lang w:val="en-CK"/>
              </w:rPr>
              <w:noBreakHyphen/>
              <w:t>term housing for residents, driving up rental costs and contributing to housing stress, particularly during peak tourism periods (Milne, 2022; Mikulić et al., 2021).</w:t>
            </w:r>
            <w:r w:rsidR="00BC7B5B" w:rsidRPr="000924FF">
              <w:rPr>
                <w:rFonts w:asciiTheme="minorHAnsi" w:hAnsiTheme="minorHAnsi" w:cstheme="minorHAnsi"/>
                <w:iCs/>
                <w:sz w:val="22"/>
                <w:szCs w:val="22"/>
                <w:lang w:val="en-CK"/>
              </w:rPr>
              <w:t xml:space="preserve"> Furthermore, from an economic perspective, land tenure complexities contribute to high commercial interest rates of up to 10% reflecting uncertainty over lease security, diminishing collateral value over time, restricted resale markets, and the cost </w:t>
            </w:r>
            <w:r w:rsidR="00BC7B5B" w:rsidRPr="000924FF">
              <w:rPr>
                <w:rFonts w:asciiTheme="minorHAnsi" w:hAnsiTheme="minorHAnsi" w:cstheme="minorHAnsi"/>
                <w:iCs/>
                <w:sz w:val="22"/>
                <w:szCs w:val="22"/>
                <w:lang w:val="en-CK"/>
              </w:rPr>
              <w:t xml:space="preserve">of lease transfers (Schulze et al., 2021). These constraints both discourage </w:t>
            </w:r>
            <w:r w:rsidR="00CB6449" w:rsidRPr="000924FF">
              <w:rPr>
                <w:rFonts w:asciiTheme="minorHAnsi" w:hAnsiTheme="minorHAnsi" w:cstheme="minorHAnsi"/>
                <w:iCs/>
                <w:sz w:val="22"/>
                <w:szCs w:val="22"/>
                <w:lang w:val="en-CK"/>
              </w:rPr>
              <w:t>investment and</w:t>
            </w:r>
            <w:r w:rsidR="00BC7B5B" w:rsidRPr="000924FF">
              <w:rPr>
                <w:rFonts w:asciiTheme="minorHAnsi" w:hAnsiTheme="minorHAnsi" w:cstheme="minorHAnsi"/>
                <w:iCs/>
                <w:sz w:val="22"/>
                <w:szCs w:val="22"/>
                <w:lang w:val="en-CK"/>
              </w:rPr>
              <w:t xml:space="preserve"> encourage landholders to rely more heavily on leasing land for tourism as one of the few viable means of generating revenue</w:t>
            </w:r>
            <w:r w:rsidR="0054073F" w:rsidRPr="000924FF">
              <w:rPr>
                <w:rFonts w:asciiTheme="minorHAnsi" w:hAnsiTheme="minorHAnsi" w:cstheme="minorHAnsi"/>
                <w:iCs/>
                <w:sz w:val="22"/>
                <w:szCs w:val="22"/>
                <w:lang w:val="en-CK"/>
              </w:rPr>
              <w:t xml:space="preserve"> on island</w:t>
            </w:r>
            <w:r w:rsidR="00BC7B5B" w:rsidRPr="000924FF">
              <w:rPr>
                <w:rFonts w:asciiTheme="minorHAnsi" w:hAnsiTheme="minorHAnsi" w:cstheme="minorHAnsi"/>
                <w:iCs/>
                <w:sz w:val="22"/>
                <w:szCs w:val="22"/>
                <w:lang w:val="en-CK"/>
              </w:rPr>
              <w:t>, reinforcing the dominance of tourism-led development.</w:t>
            </w:r>
            <w:r w:rsidR="00BC7B5B">
              <w:rPr>
                <w:rFonts w:asciiTheme="minorHAnsi" w:hAnsiTheme="minorHAnsi" w:cstheme="minorHAnsi"/>
                <w:iCs/>
                <w:szCs w:val="22"/>
                <w:lang w:val="en-CK"/>
              </w:rPr>
              <w:t xml:space="preserve"> </w:t>
            </w:r>
          </w:p>
          <w:p w14:paraId="155A2C93" w14:textId="77777777" w:rsidR="00432F28" w:rsidRPr="00432F28" w:rsidRDefault="00432F28" w:rsidP="003306FA">
            <w:pPr>
              <w:pStyle w:val="BulletPoints"/>
              <w:numPr>
                <w:ilvl w:val="0"/>
                <w:numId w:val="0"/>
              </w:numPr>
              <w:spacing w:after="0"/>
              <w:ind w:left="360"/>
              <w:jc w:val="left"/>
              <w:rPr>
                <w:rFonts w:asciiTheme="minorHAnsi" w:hAnsiTheme="minorHAnsi" w:cstheme="minorHAnsi"/>
                <w:iCs/>
                <w:sz w:val="22"/>
                <w:szCs w:val="22"/>
                <w:lang w:val="en-CK"/>
              </w:rPr>
            </w:pPr>
            <w:r w:rsidRPr="00432F28">
              <w:rPr>
                <w:rFonts w:asciiTheme="minorHAnsi" w:hAnsiTheme="minorHAnsi" w:cstheme="minorHAnsi"/>
                <w:iCs/>
                <w:sz w:val="22"/>
                <w:szCs w:val="22"/>
                <w:lang w:val="en-CK"/>
              </w:rPr>
              <w:t>Debates on land tenure and development have traditionally framed customary tenure as an obstacle to economic growth, contrasting it with statutory, individualised ownership models viewed as more compatible with private investment and market efficiency (Maxwell &amp; Wiebe, 1999; Stumpf &amp; Cheshire, 2019). Within this framing, formalisation and individualisation of land rights are often presented as necessary conditions for development.</w:t>
            </w:r>
          </w:p>
          <w:p w14:paraId="3F6CC51D" w14:textId="77777777" w:rsidR="00432F28" w:rsidRPr="00432F28" w:rsidRDefault="00432F28" w:rsidP="000924FF">
            <w:pPr>
              <w:pStyle w:val="BulletPoints"/>
              <w:numPr>
                <w:ilvl w:val="0"/>
                <w:numId w:val="0"/>
              </w:numPr>
              <w:spacing w:after="0"/>
              <w:ind w:left="360"/>
              <w:rPr>
                <w:rFonts w:asciiTheme="minorHAnsi" w:hAnsiTheme="minorHAnsi" w:cstheme="minorHAnsi"/>
                <w:iCs/>
                <w:sz w:val="22"/>
                <w:szCs w:val="22"/>
                <w:lang w:val="en-CK"/>
              </w:rPr>
            </w:pPr>
            <w:r w:rsidRPr="00432F28">
              <w:rPr>
                <w:rFonts w:asciiTheme="minorHAnsi" w:hAnsiTheme="minorHAnsi" w:cstheme="minorHAnsi"/>
                <w:iCs/>
                <w:sz w:val="22"/>
                <w:szCs w:val="22"/>
                <w:lang w:val="en-CK"/>
              </w:rPr>
              <w:t>However, a growing body of literature challenges this assumption, particularly in Indigenous and Pacific contexts. Research increasingly demonstrates that customary land tenure systems can support equitable, culturally grounded, and environmentally sustainable development, especially where land remains central to identity, social relationships, and governance (Bryant</w:t>
            </w:r>
            <w:r w:rsidRPr="00432F28">
              <w:rPr>
                <w:rFonts w:asciiTheme="minorHAnsi" w:hAnsiTheme="minorHAnsi" w:cstheme="minorHAnsi"/>
                <w:iCs/>
                <w:sz w:val="22"/>
                <w:szCs w:val="22"/>
                <w:lang w:val="en-CK"/>
              </w:rPr>
              <w:noBreakHyphen/>
            </w:r>
            <w:proofErr w:type="spellStart"/>
            <w:r w:rsidRPr="00432F28">
              <w:rPr>
                <w:rFonts w:asciiTheme="minorHAnsi" w:hAnsiTheme="minorHAnsi" w:cstheme="minorHAnsi"/>
                <w:iCs/>
                <w:sz w:val="22"/>
                <w:szCs w:val="22"/>
                <w:lang w:val="en-CK"/>
              </w:rPr>
              <w:t>Tokalau</w:t>
            </w:r>
            <w:proofErr w:type="spellEnd"/>
            <w:r w:rsidRPr="00432F28">
              <w:rPr>
                <w:rFonts w:asciiTheme="minorHAnsi" w:hAnsiTheme="minorHAnsi" w:cstheme="minorHAnsi"/>
                <w:iCs/>
                <w:sz w:val="22"/>
                <w:szCs w:val="22"/>
                <w:lang w:val="en-CK"/>
              </w:rPr>
              <w:t xml:space="preserve">, 2017; Crocombe &amp; Holmes, 2014; </w:t>
            </w:r>
            <w:proofErr w:type="spellStart"/>
            <w:r w:rsidRPr="00432F28">
              <w:rPr>
                <w:rFonts w:asciiTheme="minorHAnsi" w:hAnsiTheme="minorHAnsi" w:cstheme="minorHAnsi"/>
                <w:iCs/>
                <w:sz w:val="22"/>
                <w:szCs w:val="22"/>
                <w:lang w:val="en-CK"/>
              </w:rPr>
              <w:t>Scheyvens</w:t>
            </w:r>
            <w:proofErr w:type="spellEnd"/>
            <w:r w:rsidRPr="00432F28">
              <w:rPr>
                <w:rFonts w:asciiTheme="minorHAnsi" w:hAnsiTheme="minorHAnsi" w:cstheme="minorHAnsi"/>
                <w:iCs/>
                <w:sz w:val="22"/>
                <w:szCs w:val="22"/>
                <w:lang w:val="en-CK"/>
              </w:rPr>
              <w:t xml:space="preserve"> et al., 2020). Rather than hindering development, plural tenure arrangements can enable diverse economic activities while maintaining social cohesion and cultural continuity (Antonio &amp; Griffith</w:t>
            </w:r>
            <w:r w:rsidRPr="00432F28">
              <w:rPr>
                <w:rFonts w:asciiTheme="minorHAnsi" w:hAnsiTheme="minorHAnsi" w:cstheme="minorHAnsi"/>
                <w:iCs/>
                <w:sz w:val="22"/>
                <w:szCs w:val="22"/>
                <w:lang w:val="en-CK"/>
              </w:rPr>
              <w:noBreakHyphen/>
              <w:t>Charles, 2019; Rice, 2020).</w:t>
            </w:r>
          </w:p>
          <w:p w14:paraId="4AD2CED6" w14:textId="77777777" w:rsidR="00432F28" w:rsidRPr="00432F28" w:rsidRDefault="00432F28" w:rsidP="000924FF">
            <w:pPr>
              <w:pStyle w:val="BulletPoints"/>
              <w:numPr>
                <w:ilvl w:val="0"/>
                <w:numId w:val="0"/>
              </w:numPr>
              <w:spacing w:after="0"/>
              <w:ind w:left="360"/>
              <w:rPr>
                <w:rFonts w:asciiTheme="minorHAnsi" w:hAnsiTheme="minorHAnsi" w:cstheme="minorHAnsi"/>
                <w:iCs/>
                <w:sz w:val="22"/>
                <w:szCs w:val="22"/>
                <w:lang w:val="en-CK"/>
              </w:rPr>
            </w:pPr>
            <w:r w:rsidRPr="00432F28">
              <w:rPr>
                <w:rFonts w:asciiTheme="minorHAnsi" w:hAnsiTheme="minorHAnsi" w:cstheme="minorHAnsi"/>
                <w:iCs/>
                <w:sz w:val="22"/>
                <w:szCs w:val="22"/>
                <w:lang w:val="en-CK"/>
              </w:rPr>
              <w:t>In the Pacific, tourism development provides a critical lens through which these dynamics can be observed. While tourism is a major economic driver across countries such as Fiji, Samoa, Vanuatu, Tahiti, and the Cook Islands, studies show that development outcomes are strongly shaped by how tourism intersects with customary land systems (</w:t>
            </w:r>
            <w:proofErr w:type="spellStart"/>
            <w:r w:rsidRPr="00432F28">
              <w:rPr>
                <w:rFonts w:asciiTheme="minorHAnsi" w:hAnsiTheme="minorHAnsi" w:cstheme="minorHAnsi"/>
                <w:iCs/>
                <w:sz w:val="22"/>
                <w:szCs w:val="22"/>
                <w:lang w:val="en-CK"/>
              </w:rPr>
              <w:t>Scheyvens</w:t>
            </w:r>
            <w:proofErr w:type="spellEnd"/>
            <w:r w:rsidRPr="00432F28">
              <w:rPr>
                <w:rFonts w:asciiTheme="minorHAnsi" w:hAnsiTheme="minorHAnsi" w:cstheme="minorHAnsi"/>
                <w:iCs/>
                <w:sz w:val="22"/>
                <w:szCs w:val="22"/>
                <w:lang w:val="en-CK"/>
              </w:rPr>
              <w:t xml:space="preserve"> &amp; Russell, 2009; </w:t>
            </w:r>
            <w:proofErr w:type="spellStart"/>
            <w:r w:rsidRPr="00432F28">
              <w:rPr>
                <w:rFonts w:asciiTheme="minorHAnsi" w:hAnsiTheme="minorHAnsi" w:cstheme="minorHAnsi"/>
                <w:iCs/>
                <w:sz w:val="22"/>
                <w:szCs w:val="22"/>
                <w:lang w:val="en-CK"/>
              </w:rPr>
              <w:t>Movono</w:t>
            </w:r>
            <w:proofErr w:type="spellEnd"/>
            <w:r w:rsidRPr="00432F28">
              <w:rPr>
                <w:rFonts w:asciiTheme="minorHAnsi" w:hAnsiTheme="minorHAnsi" w:cstheme="minorHAnsi"/>
                <w:iCs/>
                <w:sz w:val="22"/>
                <w:szCs w:val="22"/>
                <w:lang w:val="en-CK"/>
              </w:rPr>
              <w:t xml:space="preserve"> et al., 2018). Where tourism development fails to recognise customary tenure processes and relational land values, it can lead to community resistance, failed projects, cultural disruption, and environmental degradation (Stumpf &amp; Cheshire, 2019; </w:t>
            </w:r>
            <w:proofErr w:type="spellStart"/>
            <w:r w:rsidRPr="00432F28">
              <w:rPr>
                <w:rFonts w:asciiTheme="minorHAnsi" w:hAnsiTheme="minorHAnsi" w:cstheme="minorHAnsi"/>
                <w:iCs/>
                <w:sz w:val="22"/>
                <w:szCs w:val="22"/>
                <w:lang w:val="en-CK"/>
              </w:rPr>
              <w:t>Movono</w:t>
            </w:r>
            <w:proofErr w:type="spellEnd"/>
            <w:r w:rsidRPr="00432F28">
              <w:rPr>
                <w:rFonts w:asciiTheme="minorHAnsi" w:hAnsiTheme="minorHAnsi" w:cstheme="minorHAnsi"/>
                <w:iCs/>
                <w:sz w:val="22"/>
                <w:szCs w:val="22"/>
                <w:lang w:val="en-CK"/>
              </w:rPr>
              <w:t xml:space="preserve"> et al., 2018). Conversely, tourism ventures that respect and align with customary land governance are more likely to generate durable partnerships, shared benefits, and long</w:t>
            </w:r>
            <w:r w:rsidRPr="00432F28">
              <w:rPr>
                <w:rFonts w:asciiTheme="minorHAnsi" w:hAnsiTheme="minorHAnsi" w:cstheme="minorHAnsi"/>
                <w:iCs/>
                <w:sz w:val="22"/>
                <w:szCs w:val="22"/>
                <w:lang w:val="en-CK"/>
              </w:rPr>
              <w:noBreakHyphen/>
              <w:t>term sustainability (Bryant</w:t>
            </w:r>
            <w:r w:rsidRPr="00432F28">
              <w:rPr>
                <w:rFonts w:asciiTheme="minorHAnsi" w:hAnsiTheme="minorHAnsi" w:cstheme="minorHAnsi"/>
                <w:iCs/>
                <w:sz w:val="22"/>
                <w:szCs w:val="22"/>
                <w:lang w:val="en-CK"/>
              </w:rPr>
              <w:noBreakHyphen/>
            </w:r>
            <w:proofErr w:type="spellStart"/>
            <w:r w:rsidRPr="00432F28">
              <w:rPr>
                <w:rFonts w:asciiTheme="minorHAnsi" w:hAnsiTheme="minorHAnsi" w:cstheme="minorHAnsi"/>
                <w:iCs/>
                <w:sz w:val="22"/>
                <w:szCs w:val="22"/>
                <w:lang w:val="en-CK"/>
              </w:rPr>
              <w:t>Tokalau</w:t>
            </w:r>
            <w:proofErr w:type="spellEnd"/>
            <w:r w:rsidRPr="00432F28">
              <w:rPr>
                <w:rFonts w:asciiTheme="minorHAnsi" w:hAnsiTheme="minorHAnsi" w:cstheme="minorHAnsi"/>
                <w:iCs/>
                <w:sz w:val="22"/>
                <w:szCs w:val="22"/>
                <w:lang w:val="en-CK"/>
              </w:rPr>
              <w:t xml:space="preserve">, 2017; </w:t>
            </w:r>
            <w:proofErr w:type="spellStart"/>
            <w:r w:rsidRPr="00432F28">
              <w:rPr>
                <w:rFonts w:asciiTheme="minorHAnsi" w:hAnsiTheme="minorHAnsi" w:cstheme="minorHAnsi"/>
                <w:iCs/>
                <w:sz w:val="22"/>
                <w:szCs w:val="22"/>
                <w:lang w:val="en-CK"/>
              </w:rPr>
              <w:t>Scheyvens</w:t>
            </w:r>
            <w:proofErr w:type="spellEnd"/>
            <w:r w:rsidRPr="00432F28">
              <w:rPr>
                <w:rFonts w:asciiTheme="minorHAnsi" w:hAnsiTheme="minorHAnsi" w:cstheme="minorHAnsi"/>
                <w:iCs/>
                <w:sz w:val="22"/>
                <w:szCs w:val="22"/>
                <w:lang w:val="en-CK"/>
              </w:rPr>
              <w:t xml:space="preserve"> et al., 2020).</w:t>
            </w:r>
          </w:p>
          <w:p w14:paraId="37F934B2" w14:textId="1FB39DC0" w:rsidR="006344A5" w:rsidRPr="00F97284" w:rsidRDefault="00432F28" w:rsidP="00F97284">
            <w:pPr>
              <w:pStyle w:val="BulletPoints"/>
              <w:numPr>
                <w:ilvl w:val="0"/>
                <w:numId w:val="0"/>
              </w:numPr>
              <w:spacing w:after="0"/>
              <w:ind w:left="360"/>
              <w:rPr>
                <w:rFonts w:asciiTheme="minorHAnsi" w:hAnsiTheme="minorHAnsi" w:cstheme="minorHAnsi"/>
                <w:iCs/>
                <w:sz w:val="22"/>
                <w:szCs w:val="22"/>
                <w:lang w:val="en-CK"/>
              </w:rPr>
            </w:pPr>
            <w:r w:rsidRPr="00432F28">
              <w:rPr>
                <w:rFonts w:asciiTheme="minorHAnsi" w:hAnsiTheme="minorHAnsi" w:cstheme="minorHAnsi"/>
                <w:iCs/>
                <w:sz w:val="22"/>
                <w:szCs w:val="22"/>
                <w:lang w:val="en-CK"/>
              </w:rPr>
              <w:t xml:space="preserve">Overall, the literature highlights that land tenure shapes development outcomes not through its formal structure alone, but through how land, </w:t>
            </w:r>
            <w:r w:rsidRPr="00432F28">
              <w:rPr>
                <w:rFonts w:asciiTheme="minorHAnsi" w:hAnsiTheme="minorHAnsi" w:cstheme="minorHAnsi"/>
                <w:iCs/>
                <w:sz w:val="22"/>
                <w:szCs w:val="22"/>
                <w:lang w:val="en-CK"/>
              </w:rPr>
              <w:lastRenderedPageBreak/>
              <w:t>economic activity, and social relationships are negotiated within specific cultural and political contexts. Recognising and protecting Indigenous land tenure systems is therefore central to achieving equitable, sustainable tourism development in the Pacific.</w:t>
            </w:r>
          </w:p>
        </w:tc>
      </w:tr>
      <w:tr w:rsidR="006344A5" w14:paraId="37F934BF" w14:textId="77777777" w:rsidTr="00831C12">
        <w:tc>
          <w:tcPr>
            <w:tcW w:w="5103" w:type="dxa"/>
          </w:tcPr>
          <w:p w14:paraId="435EAD85" w14:textId="77777777" w:rsidR="000924FF" w:rsidRDefault="000924FF" w:rsidP="00CF05B4">
            <w:pPr>
              <w:pStyle w:val="BulletPoints"/>
              <w:numPr>
                <w:ilvl w:val="0"/>
                <w:numId w:val="0"/>
              </w:numPr>
              <w:rPr>
                <w:rFonts w:asciiTheme="minorHAnsi" w:hAnsiTheme="minorHAnsi" w:cstheme="minorHAnsi"/>
                <w:b/>
                <w:color w:val="864EA8" w:themeColor="accent1" w:themeShade="BF"/>
              </w:rPr>
            </w:pPr>
          </w:p>
          <w:p w14:paraId="101CA985" w14:textId="0A9D14C1" w:rsidR="00432F28" w:rsidRPr="00F97284" w:rsidRDefault="006344A5" w:rsidP="00F97284">
            <w:pPr>
              <w:pStyle w:val="BulletPoints"/>
              <w:numPr>
                <w:ilvl w:val="0"/>
                <w:numId w:val="0"/>
              </w:numPr>
              <w:ind w:left="360"/>
              <w:rPr>
                <w:rFonts w:asciiTheme="minorHAnsi" w:hAnsiTheme="minorHAnsi" w:cstheme="minorHAnsi"/>
                <w:b/>
                <w:color w:val="864EA8" w:themeColor="accent1" w:themeShade="BF"/>
              </w:rPr>
            </w:pPr>
            <w:r w:rsidRPr="00383BCD">
              <w:rPr>
                <w:rFonts w:asciiTheme="minorHAnsi" w:hAnsiTheme="minorHAnsi" w:cstheme="minorHAnsi"/>
                <w:b/>
                <w:color w:val="864EA8" w:themeColor="accent1" w:themeShade="BF"/>
              </w:rPr>
              <w:t>Key findings</w:t>
            </w:r>
          </w:p>
          <w:p w14:paraId="68FCD5B5" w14:textId="6744DE1E" w:rsidR="00574C15" w:rsidRDefault="00574C15" w:rsidP="00D865C7">
            <w:pPr>
              <w:pStyle w:val="BulletPoints"/>
              <w:numPr>
                <w:ilvl w:val="0"/>
                <w:numId w:val="0"/>
              </w:numPr>
              <w:spacing w:after="0"/>
              <w:ind w:left="360"/>
              <w:jc w:val="left"/>
              <w:rPr>
                <w:rFonts w:asciiTheme="minorHAnsi" w:hAnsiTheme="minorHAnsi" w:cstheme="minorHAnsi"/>
                <w:iCs/>
                <w:sz w:val="22"/>
                <w:szCs w:val="22"/>
              </w:rPr>
            </w:pPr>
            <w:r>
              <w:rPr>
                <w:rFonts w:asciiTheme="minorHAnsi" w:hAnsiTheme="minorHAnsi" w:cstheme="minorHAnsi"/>
                <w:iCs/>
                <w:sz w:val="22"/>
                <w:szCs w:val="22"/>
              </w:rPr>
              <w:t xml:space="preserve">Three core themes emerged from the findings with associated sub themes which included; The dualistic systems of land tenure, impacts of land tenure on tourism development and tourism development shaping land use and land tenure. </w:t>
            </w:r>
          </w:p>
          <w:p w14:paraId="4F8777B7" w14:textId="3DBE42B3" w:rsidR="00D865C7" w:rsidRPr="00A62056" w:rsidRDefault="00A870D1" w:rsidP="00D865C7">
            <w:pPr>
              <w:pStyle w:val="BulletPoints"/>
              <w:numPr>
                <w:ilvl w:val="0"/>
                <w:numId w:val="0"/>
              </w:numPr>
              <w:spacing w:after="0"/>
              <w:ind w:left="360"/>
              <w:jc w:val="left"/>
              <w:rPr>
                <w:rFonts w:asciiTheme="minorHAnsi" w:hAnsiTheme="minorHAnsi" w:cstheme="minorHAnsi"/>
                <w:iCs/>
                <w:sz w:val="22"/>
                <w:szCs w:val="22"/>
              </w:rPr>
            </w:pPr>
            <w:r>
              <w:rPr>
                <w:rFonts w:asciiTheme="minorHAnsi" w:hAnsiTheme="minorHAnsi" w:cstheme="minorHAnsi"/>
                <w:iCs/>
                <w:sz w:val="22"/>
                <w:szCs w:val="22"/>
              </w:rPr>
              <w:t>The dualistic systems encompass c</w:t>
            </w:r>
            <w:r w:rsidR="00D865C7">
              <w:rPr>
                <w:rFonts w:asciiTheme="minorHAnsi" w:hAnsiTheme="minorHAnsi" w:cstheme="minorHAnsi"/>
                <w:iCs/>
                <w:sz w:val="22"/>
                <w:szCs w:val="22"/>
              </w:rPr>
              <w:t xml:space="preserve">ustomary and statutory </w:t>
            </w:r>
            <w:r w:rsidR="003306FA">
              <w:rPr>
                <w:rFonts w:asciiTheme="minorHAnsi" w:hAnsiTheme="minorHAnsi" w:cstheme="minorHAnsi"/>
                <w:iCs/>
                <w:sz w:val="22"/>
                <w:szCs w:val="22"/>
              </w:rPr>
              <w:t>market-based</w:t>
            </w:r>
            <w:r w:rsidR="00D865C7">
              <w:rPr>
                <w:rFonts w:asciiTheme="minorHAnsi" w:hAnsiTheme="minorHAnsi" w:cstheme="minorHAnsi"/>
                <w:iCs/>
                <w:sz w:val="22"/>
                <w:szCs w:val="22"/>
              </w:rPr>
              <w:t xml:space="preserve"> land tenure systems</w:t>
            </w:r>
            <w:r>
              <w:rPr>
                <w:rFonts w:asciiTheme="minorHAnsi" w:hAnsiTheme="minorHAnsi" w:cstheme="minorHAnsi"/>
                <w:iCs/>
                <w:sz w:val="22"/>
                <w:szCs w:val="22"/>
              </w:rPr>
              <w:t xml:space="preserve">. They </w:t>
            </w:r>
            <w:r w:rsidR="00D865C7">
              <w:rPr>
                <w:rFonts w:asciiTheme="minorHAnsi" w:hAnsiTheme="minorHAnsi" w:cstheme="minorHAnsi"/>
                <w:iCs/>
                <w:sz w:val="22"/>
                <w:szCs w:val="22"/>
              </w:rPr>
              <w:t xml:space="preserve">operate simultaneously in practice, interacting in a relationship of complementary competition. Tourism development relies on customary land, while market mechanisms such as leasing and finance enable development to proceed. These systems often reinforce one another but also generate tension and conflict. </w:t>
            </w:r>
          </w:p>
          <w:p w14:paraId="0E60BF83" w14:textId="77777777" w:rsidR="003306FA" w:rsidRDefault="003306FA" w:rsidP="00D865C7">
            <w:pPr>
              <w:pStyle w:val="BulletPoints"/>
              <w:numPr>
                <w:ilvl w:val="0"/>
                <w:numId w:val="0"/>
              </w:numPr>
              <w:spacing w:after="0"/>
              <w:ind w:left="360"/>
              <w:jc w:val="left"/>
              <w:rPr>
                <w:rFonts w:asciiTheme="minorHAnsi" w:hAnsiTheme="minorHAnsi" w:cstheme="minorHAnsi"/>
                <w:b/>
                <w:bCs/>
                <w:iCs/>
                <w:sz w:val="22"/>
                <w:szCs w:val="22"/>
              </w:rPr>
            </w:pPr>
          </w:p>
          <w:p w14:paraId="7B479671" w14:textId="323CC7AC" w:rsidR="00D865C7" w:rsidRDefault="00D865C7" w:rsidP="00D865C7">
            <w:pPr>
              <w:pStyle w:val="BulletPoints"/>
              <w:numPr>
                <w:ilvl w:val="0"/>
                <w:numId w:val="0"/>
              </w:numPr>
              <w:spacing w:after="0"/>
              <w:ind w:left="360"/>
              <w:jc w:val="left"/>
              <w:rPr>
                <w:rFonts w:asciiTheme="minorHAnsi" w:hAnsiTheme="minorHAnsi" w:cstheme="minorHAnsi"/>
                <w:iCs/>
                <w:sz w:val="22"/>
                <w:szCs w:val="22"/>
              </w:rPr>
            </w:pPr>
            <w:r>
              <w:rPr>
                <w:rFonts w:asciiTheme="minorHAnsi" w:hAnsiTheme="minorHAnsi" w:cstheme="minorHAnsi"/>
                <w:iCs/>
                <w:sz w:val="22"/>
                <w:szCs w:val="22"/>
              </w:rPr>
              <w:t xml:space="preserve">For example, tourism growth has created a self-reinforcing development cycle, where in tourism expansion drives land leasing, leasing enables access to finance, and finance facilitates further development. This cycle has intensified the financialisaton of land and strengthened tourism’s dominance as the primary development pathway. </w:t>
            </w:r>
            <w:r w:rsidR="00CB6449">
              <w:rPr>
                <w:rFonts w:asciiTheme="minorHAnsi" w:hAnsiTheme="minorHAnsi" w:cstheme="minorHAnsi"/>
                <w:iCs/>
                <w:sz w:val="22"/>
                <w:szCs w:val="22"/>
              </w:rPr>
              <w:t xml:space="preserve">See Appendices, figure </w:t>
            </w:r>
            <w:r w:rsidR="001417BB">
              <w:rPr>
                <w:rFonts w:asciiTheme="minorHAnsi" w:hAnsiTheme="minorHAnsi" w:cstheme="minorHAnsi"/>
                <w:iCs/>
                <w:sz w:val="22"/>
                <w:szCs w:val="22"/>
              </w:rPr>
              <w:t>3</w:t>
            </w:r>
            <w:r w:rsidR="00CB6449">
              <w:rPr>
                <w:rFonts w:asciiTheme="minorHAnsi" w:hAnsiTheme="minorHAnsi" w:cstheme="minorHAnsi"/>
                <w:iCs/>
                <w:sz w:val="22"/>
                <w:szCs w:val="22"/>
              </w:rPr>
              <w:t xml:space="preserve">: of Circular Cycle of Tourism Driven Development that </w:t>
            </w:r>
            <w:r>
              <w:rPr>
                <w:rFonts w:asciiTheme="minorHAnsi" w:hAnsiTheme="minorHAnsi" w:cstheme="minorHAnsi"/>
                <w:iCs/>
                <w:sz w:val="22"/>
                <w:szCs w:val="22"/>
              </w:rPr>
              <w:t>illustrate</w:t>
            </w:r>
            <w:r w:rsidR="00CB6449">
              <w:rPr>
                <w:rFonts w:asciiTheme="minorHAnsi" w:hAnsiTheme="minorHAnsi" w:cstheme="minorHAnsi"/>
                <w:iCs/>
                <w:sz w:val="22"/>
                <w:szCs w:val="22"/>
              </w:rPr>
              <w:t>s</w:t>
            </w:r>
            <w:r>
              <w:rPr>
                <w:rFonts w:asciiTheme="minorHAnsi" w:hAnsiTheme="minorHAnsi" w:cstheme="minorHAnsi"/>
                <w:iCs/>
                <w:sz w:val="22"/>
                <w:szCs w:val="22"/>
              </w:rPr>
              <w:t xml:space="preserve"> this pattern:</w:t>
            </w:r>
          </w:p>
          <w:p w14:paraId="6B682FB1" w14:textId="525D83EE" w:rsidR="00D865C7" w:rsidRPr="00A62056" w:rsidRDefault="00D865C7" w:rsidP="00D865C7">
            <w:pPr>
              <w:pStyle w:val="BulletPoints"/>
              <w:numPr>
                <w:ilvl w:val="0"/>
                <w:numId w:val="0"/>
              </w:numPr>
              <w:spacing w:after="0"/>
              <w:ind w:left="360"/>
              <w:jc w:val="left"/>
              <w:rPr>
                <w:rFonts w:asciiTheme="minorHAnsi" w:hAnsiTheme="minorHAnsi" w:cstheme="minorHAnsi"/>
                <w:iCs/>
                <w:sz w:val="22"/>
                <w:szCs w:val="22"/>
              </w:rPr>
            </w:pPr>
          </w:p>
          <w:p w14:paraId="37F934B8" w14:textId="6F255152" w:rsidR="006344A5" w:rsidRPr="003306FA" w:rsidRDefault="003306FA" w:rsidP="00831C12">
            <w:pPr>
              <w:pStyle w:val="BulletPoints"/>
              <w:numPr>
                <w:ilvl w:val="0"/>
                <w:numId w:val="18"/>
              </w:numPr>
              <w:spacing w:after="0"/>
              <w:jc w:val="left"/>
              <w:rPr>
                <w:rFonts w:asciiTheme="minorHAnsi" w:hAnsiTheme="minorHAnsi" w:cstheme="minorHAnsi"/>
                <w:iCs/>
                <w:sz w:val="22"/>
                <w:szCs w:val="22"/>
              </w:rPr>
            </w:pPr>
            <w:r w:rsidRPr="003306FA">
              <w:rPr>
                <w:rFonts w:asciiTheme="minorHAnsi" w:hAnsiTheme="minorHAnsi" w:cstheme="minorHAnsi"/>
                <w:iCs/>
                <w:sz w:val="22"/>
                <w:szCs w:val="22"/>
              </w:rPr>
              <w:t>The viewpoints of the stakeholders as follows:</w:t>
            </w:r>
          </w:p>
          <w:p w14:paraId="3E1CDBFA" w14:textId="3064593F" w:rsidR="00D865C7" w:rsidRDefault="00CB6449" w:rsidP="003306FA">
            <w:pPr>
              <w:pStyle w:val="BulletPoints"/>
              <w:numPr>
                <w:ilvl w:val="0"/>
                <w:numId w:val="0"/>
              </w:numPr>
              <w:spacing w:after="0"/>
              <w:ind w:left="360"/>
              <w:jc w:val="left"/>
              <w:rPr>
                <w:rFonts w:asciiTheme="minorHAnsi" w:hAnsiTheme="minorHAnsi" w:cstheme="minorHAnsi"/>
                <w:iCs/>
                <w:sz w:val="22"/>
                <w:szCs w:val="22"/>
              </w:rPr>
            </w:pPr>
            <w:r>
              <w:rPr>
                <w:rFonts w:asciiTheme="minorHAnsi" w:hAnsiTheme="minorHAnsi" w:cstheme="minorHAnsi"/>
                <w:iCs/>
                <w:sz w:val="22"/>
                <w:szCs w:val="22"/>
              </w:rPr>
              <w:t xml:space="preserve">Landholders: </w:t>
            </w:r>
            <w:r w:rsidR="009F10E2">
              <w:rPr>
                <w:rFonts w:asciiTheme="minorHAnsi" w:hAnsiTheme="minorHAnsi" w:cstheme="minorHAnsi"/>
                <w:iCs/>
                <w:sz w:val="22"/>
                <w:szCs w:val="22"/>
              </w:rPr>
              <w:t xml:space="preserve">There was a clear dichotomy between customary and legal land tenure governance structures, termed dualistic land tenure systems. This dichotomy often led to ambivalent experiences that gave </w:t>
            </w:r>
            <w:r>
              <w:rPr>
                <w:rFonts w:asciiTheme="minorHAnsi" w:hAnsiTheme="minorHAnsi" w:cstheme="minorHAnsi"/>
                <w:iCs/>
                <w:sz w:val="22"/>
                <w:szCs w:val="22"/>
              </w:rPr>
              <w:t xml:space="preserve">rise </w:t>
            </w:r>
            <w:r w:rsidR="009F10E2">
              <w:rPr>
                <w:rFonts w:asciiTheme="minorHAnsi" w:hAnsiTheme="minorHAnsi" w:cstheme="minorHAnsi"/>
                <w:iCs/>
                <w:sz w:val="22"/>
                <w:szCs w:val="22"/>
              </w:rPr>
              <w:t xml:space="preserve">to contested terrain. </w:t>
            </w:r>
          </w:p>
          <w:p w14:paraId="46013838" w14:textId="77777777" w:rsidR="009F10E2" w:rsidRDefault="009F10E2" w:rsidP="009F10E2">
            <w:pPr>
              <w:ind w:left="720"/>
              <w:rPr>
                <w:rFonts w:asciiTheme="minorHAnsi" w:hAnsiTheme="minorHAnsi" w:cstheme="minorHAnsi"/>
                <w:i/>
                <w:szCs w:val="22"/>
                <w:lang w:bidi="ar-DZ"/>
              </w:rPr>
            </w:pPr>
          </w:p>
          <w:p w14:paraId="35690E52" w14:textId="1D78FFFC" w:rsidR="009F10E2" w:rsidRPr="009F10E2" w:rsidRDefault="009F10E2" w:rsidP="000924FF">
            <w:pPr>
              <w:ind w:left="360"/>
              <w:rPr>
                <w:rFonts w:asciiTheme="minorHAnsi" w:hAnsiTheme="minorHAnsi" w:cstheme="minorHAnsi"/>
                <w:i/>
                <w:szCs w:val="22"/>
                <w:lang w:bidi="ar-DZ"/>
              </w:rPr>
            </w:pPr>
            <w:r w:rsidRPr="009F10E2">
              <w:rPr>
                <w:rFonts w:asciiTheme="minorHAnsi" w:hAnsiTheme="minorHAnsi" w:cstheme="minorHAnsi"/>
                <w:i/>
                <w:szCs w:val="22"/>
                <w:lang w:bidi="ar-DZ"/>
              </w:rPr>
              <w:t xml:space="preserve">“There is a very big difference. Customary is based on our </w:t>
            </w:r>
            <w:proofErr w:type="spellStart"/>
            <w:r w:rsidRPr="009F10E2">
              <w:rPr>
                <w:rFonts w:asciiTheme="minorHAnsi" w:hAnsiTheme="minorHAnsi" w:cstheme="minorHAnsi"/>
                <w:i/>
                <w:szCs w:val="22"/>
                <w:lang w:bidi="ar-DZ"/>
              </w:rPr>
              <w:t>aroa</w:t>
            </w:r>
            <w:proofErr w:type="spellEnd"/>
            <w:r w:rsidRPr="009F10E2">
              <w:rPr>
                <w:rFonts w:asciiTheme="minorHAnsi" w:hAnsiTheme="minorHAnsi" w:cstheme="minorHAnsi"/>
                <w:i/>
                <w:szCs w:val="22"/>
                <w:lang w:bidi="ar-DZ"/>
              </w:rPr>
              <w:t xml:space="preserve"> (love) and blood lines and our ties and our families. The other one is based on money, commercial, financial gain for financial purposes – that’s the stark difference, there’s no two ways about it. </w:t>
            </w:r>
          </w:p>
          <w:p w14:paraId="1A572A7F" w14:textId="77777777" w:rsidR="009F10E2" w:rsidRDefault="009F10E2" w:rsidP="000924FF">
            <w:pPr>
              <w:ind w:left="360"/>
              <w:rPr>
                <w:rFonts w:asciiTheme="minorHAnsi" w:hAnsiTheme="minorHAnsi" w:cstheme="minorHAnsi"/>
                <w:i/>
                <w:szCs w:val="22"/>
                <w:lang w:bidi="ar-DZ"/>
              </w:rPr>
            </w:pPr>
            <w:r w:rsidRPr="009F10E2">
              <w:rPr>
                <w:rFonts w:asciiTheme="minorHAnsi" w:hAnsiTheme="minorHAnsi" w:cstheme="minorHAnsi"/>
                <w:i/>
                <w:szCs w:val="22"/>
                <w:lang w:bidi="ar-DZ"/>
              </w:rPr>
              <w:t xml:space="preserve">If you were my own daughter, would I sell you my piece of land? No, I will pass it down to her because that’s our customary way. And all my lands, if I’m a title holder goes back to the family.  </w:t>
            </w:r>
            <w:r w:rsidRPr="009F10E2">
              <w:rPr>
                <w:rFonts w:asciiTheme="minorHAnsi" w:hAnsiTheme="minorHAnsi" w:cstheme="minorHAnsi"/>
                <w:i/>
                <w:szCs w:val="22"/>
                <w:lang w:bidi="ar-DZ"/>
              </w:rPr>
              <w:t>And through the court, legally it’s yours and you can do whatever you like with it and sell it off” Tama T</w:t>
            </w:r>
          </w:p>
          <w:p w14:paraId="6F9D1291" w14:textId="77777777" w:rsidR="002D62EC" w:rsidRPr="009F10E2" w:rsidRDefault="002D62EC" w:rsidP="009F10E2">
            <w:pPr>
              <w:ind w:left="720"/>
              <w:rPr>
                <w:rFonts w:asciiTheme="minorHAnsi" w:hAnsiTheme="minorHAnsi" w:cstheme="minorHAnsi"/>
                <w:i/>
                <w:szCs w:val="22"/>
                <w:lang w:bidi="ar-DZ"/>
              </w:rPr>
            </w:pPr>
          </w:p>
          <w:p w14:paraId="0E6AE1E7" w14:textId="6BDCC21C" w:rsidR="009F10E2" w:rsidRDefault="002D62EC" w:rsidP="000924FF">
            <w:pPr>
              <w:pStyle w:val="BulletPoints"/>
              <w:numPr>
                <w:ilvl w:val="0"/>
                <w:numId w:val="0"/>
              </w:numPr>
              <w:spacing w:after="0"/>
              <w:ind w:left="360"/>
              <w:jc w:val="left"/>
              <w:rPr>
                <w:rFonts w:asciiTheme="minorHAnsi" w:hAnsiTheme="minorHAnsi" w:cstheme="minorHAnsi"/>
                <w:iCs/>
                <w:sz w:val="22"/>
                <w:szCs w:val="22"/>
              </w:rPr>
            </w:pPr>
            <w:r w:rsidRPr="002D62EC">
              <w:rPr>
                <w:rFonts w:asciiTheme="minorHAnsi" w:hAnsiTheme="minorHAnsi" w:cstheme="minorHAnsi"/>
                <w:iCs/>
                <w:sz w:val="22"/>
                <w:szCs w:val="22"/>
              </w:rPr>
              <w:t>From an investment angle on land tenure in the Cook Islands, the Pacific Private Sector Development Initiative [</w:t>
            </w:r>
            <w:proofErr w:type="spellStart"/>
            <w:r w:rsidRPr="002D62EC">
              <w:rPr>
                <w:rFonts w:asciiTheme="minorHAnsi" w:hAnsiTheme="minorHAnsi" w:cstheme="minorHAnsi"/>
                <w:iCs/>
                <w:sz w:val="22"/>
                <w:szCs w:val="22"/>
              </w:rPr>
              <w:t>PSDI</w:t>
            </w:r>
            <w:proofErr w:type="spellEnd"/>
            <w:r w:rsidRPr="002D62EC">
              <w:rPr>
                <w:rFonts w:asciiTheme="minorHAnsi" w:hAnsiTheme="minorHAnsi" w:cstheme="minorHAnsi"/>
                <w:iCs/>
                <w:sz w:val="22"/>
                <w:szCs w:val="22"/>
              </w:rPr>
              <w:t>] that was commissioned by the Asian Development Bank stated that “Land ownership constraints are an impediment to tourism investment” (</w:t>
            </w:r>
            <w:proofErr w:type="spellStart"/>
            <w:r w:rsidRPr="002D62EC">
              <w:rPr>
                <w:rFonts w:asciiTheme="minorHAnsi" w:hAnsiTheme="minorHAnsi" w:cstheme="minorHAnsi"/>
                <w:iCs/>
                <w:sz w:val="22"/>
                <w:szCs w:val="22"/>
              </w:rPr>
              <w:t>PSDI</w:t>
            </w:r>
            <w:proofErr w:type="spellEnd"/>
            <w:r w:rsidRPr="002D62EC">
              <w:rPr>
                <w:rFonts w:asciiTheme="minorHAnsi" w:hAnsiTheme="minorHAnsi" w:cstheme="minorHAnsi"/>
                <w:iCs/>
                <w:sz w:val="22"/>
                <w:szCs w:val="22"/>
              </w:rPr>
              <w:t>, 2021, p. 6).</w:t>
            </w:r>
            <w:r w:rsidR="008726E2">
              <w:rPr>
                <w:rFonts w:asciiTheme="minorHAnsi" w:hAnsiTheme="minorHAnsi" w:cstheme="minorHAnsi"/>
                <w:iCs/>
                <w:sz w:val="22"/>
                <w:szCs w:val="22"/>
              </w:rPr>
              <w:t xml:space="preserve"> From a tourism industry and foreign investment planning perspective, land tenure in the Cook Islands is often framed as a barrier to long term and lucrative investment with calls</w:t>
            </w:r>
            <w:r w:rsidR="000C1E52">
              <w:rPr>
                <w:rFonts w:asciiTheme="minorHAnsi" w:hAnsiTheme="minorHAnsi" w:cstheme="minorHAnsi"/>
                <w:iCs/>
                <w:sz w:val="22"/>
                <w:szCs w:val="22"/>
              </w:rPr>
              <w:t xml:space="preserve"> and pushes</w:t>
            </w:r>
            <w:r w:rsidR="008726E2">
              <w:rPr>
                <w:rFonts w:asciiTheme="minorHAnsi" w:hAnsiTheme="minorHAnsi" w:cstheme="minorHAnsi"/>
                <w:iCs/>
                <w:sz w:val="22"/>
                <w:szCs w:val="22"/>
              </w:rPr>
              <w:t xml:space="preserve"> for longer </w:t>
            </w:r>
            <w:r w:rsidR="000C1E52">
              <w:rPr>
                <w:rFonts w:asciiTheme="minorHAnsi" w:hAnsiTheme="minorHAnsi" w:cstheme="minorHAnsi"/>
                <w:iCs/>
                <w:sz w:val="22"/>
                <w:szCs w:val="22"/>
              </w:rPr>
              <w:t xml:space="preserve">term </w:t>
            </w:r>
            <w:r w:rsidR="008726E2">
              <w:rPr>
                <w:rFonts w:asciiTheme="minorHAnsi" w:hAnsiTheme="minorHAnsi" w:cstheme="minorHAnsi"/>
                <w:iCs/>
                <w:sz w:val="22"/>
                <w:szCs w:val="22"/>
              </w:rPr>
              <w:t xml:space="preserve">leases </w:t>
            </w:r>
            <w:r w:rsidR="000C1E52">
              <w:rPr>
                <w:rFonts w:asciiTheme="minorHAnsi" w:hAnsiTheme="minorHAnsi" w:cstheme="minorHAnsi"/>
                <w:iCs/>
                <w:sz w:val="22"/>
                <w:szCs w:val="22"/>
              </w:rPr>
              <w:t>from the industry and development organisations.</w:t>
            </w:r>
          </w:p>
          <w:p w14:paraId="1CC62617" w14:textId="77777777" w:rsidR="002D62EC" w:rsidRDefault="002D62EC" w:rsidP="002D62EC">
            <w:pPr>
              <w:pStyle w:val="BulletPoints"/>
              <w:numPr>
                <w:ilvl w:val="0"/>
                <w:numId w:val="0"/>
              </w:numPr>
              <w:spacing w:after="0"/>
              <w:ind w:left="1080"/>
              <w:jc w:val="left"/>
              <w:rPr>
                <w:rFonts w:asciiTheme="minorHAnsi" w:hAnsiTheme="minorHAnsi" w:cstheme="minorHAnsi"/>
                <w:iCs/>
                <w:sz w:val="22"/>
                <w:szCs w:val="22"/>
              </w:rPr>
            </w:pPr>
          </w:p>
          <w:p w14:paraId="21B83A70" w14:textId="736A56EB" w:rsidR="002D62EC" w:rsidRDefault="000C1E52" w:rsidP="000924FF">
            <w:pPr>
              <w:pStyle w:val="BulletPoints"/>
              <w:numPr>
                <w:ilvl w:val="0"/>
                <w:numId w:val="0"/>
              </w:numPr>
              <w:spacing w:after="0"/>
              <w:ind w:left="360"/>
              <w:jc w:val="left"/>
              <w:rPr>
                <w:rFonts w:asciiTheme="minorHAnsi" w:hAnsiTheme="minorHAnsi" w:cstheme="minorHAnsi"/>
                <w:iCs/>
                <w:sz w:val="22"/>
                <w:szCs w:val="22"/>
              </w:rPr>
            </w:pPr>
            <w:r>
              <w:rPr>
                <w:rFonts w:asciiTheme="minorHAnsi" w:hAnsiTheme="minorHAnsi" w:cstheme="minorHAnsi"/>
                <w:iCs/>
                <w:sz w:val="22"/>
                <w:szCs w:val="22"/>
              </w:rPr>
              <w:t xml:space="preserve">One of the reasons for this is that the meaning of land is different amongst stakeholders. </w:t>
            </w:r>
            <w:r w:rsidR="002D62EC" w:rsidRPr="002D62EC">
              <w:rPr>
                <w:rFonts w:asciiTheme="minorHAnsi" w:hAnsiTheme="minorHAnsi" w:cstheme="minorHAnsi"/>
                <w:iCs/>
                <w:sz w:val="22"/>
                <w:szCs w:val="22"/>
              </w:rPr>
              <w:t>The assembling of land for global investment reveals how land has different meanings to different people (Li, 2014).</w:t>
            </w:r>
            <w:r w:rsidR="000254C9">
              <w:rPr>
                <w:rFonts w:asciiTheme="minorHAnsi" w:hAnsiTheme="minorHAnsi" w:cstheme="minorHAnsi"/>
                <w:iCs/>
                <w:sz w:val="22"/>
                <w:szCs w:val="22"/>
              </w:rPr>
              <w:t xml:space="preserve"> </w:t>
            </w:r>
            <w:r w:rsidR="000254C9" w:rsidRPr="000254C9">
              <w:rPr>
                <w:rFonts w:asciiTheme="minorHAnsi" w:hAnsiTheme="minorHAnsi" w:cstheme="minorHAnsi"/>
                <w:iCs/>
                <w:sz w:val="22"/>
                <w:szCs w:val="22"/>
              </w:rPr>
              <w:t>For the context of Rarotonga, these actors can include landholders, tourism developers, land agent, land court administration staff, financial institutions representatives and others. These actors have different views on the ontology of land, its affordances, and how humans should interact with it (Li, 2014, p. 590).</w:t>
            </w:r>
          </w:p>
          <w:p w14:paraId="6EF74CB2" w14:textId="77777777" w:rsidR="000C1E52" w:rsidRPr="00A62056" w:rsidRDefault="000C1E52" w:rsidP="00831993">
            <w:pPr>
              <w:pStyle w:val="BulletPoints"/>
              <w:numPr>
                <w:ilvl w:val="0"/>
                <w:numId w:val="0"/>
              </w:numPr>
              <w:spacing w:after="0"/>
              <w:jc w:val="left"/>
              <w:rPr>
                <w:rFonts w:asciiTheme="minorHAnsi" w:hAnsiTheme="minorHAnsi" w:cstheme="minorHAnsi"/>
                <w:iCs/>
                <w:sz w:val="22"/>
                <w:szCs w:val="22"/>
              </w:rPr>
            </w:pPr>
          </w:p>
          <w:p w14:paraId="09F11709" w14:textId="6639E2AF" w:rsidR="000254C9" w:rsidRPr="003306FA" w:rsidRDefault="000C1E52" w:rsidP="003306FA">
            <w:pPr>
              <w:pStyle w:val="BulletPoints"/>
              <w:ind w:left="360"/>
              <w:jc w:val="left"/>
              <w:rPr>
                <w:rFonts w:asciiTheme="minorHAnsi" w:hAnsiTheme="minorHAnsi" w:cstheme="minorHAnsi"/>
                <w:iCs/>
                <w:szCs w:val="22"/>
                <w:lang w:val="en-CK"/>
              </w:rPr>
            </w:pPr>
            <w:r w:rsidRPr="000C1E52">
              <w:rPr>
                <w:rFonts w:asciiTheme="minorHAnsi" w:hAnsiTheme="minorHAnsi" w:cstheme="minorHAnsi"/>
                <w:iCs/>
                <w:sz w:val="22"/>
                <w:szCs w:val="22"/>
              </w:rPr>
              <w:t>Current tourism growth approaches have delivered benefits to certain segments of society while marginalising others. In the Cook Islands, neoliberal policy reforms implemented in the</w:t>
            </w:r>
            <w:r>
              <w:rPr>
                <w:rFonts w:asciiTheme="minorHAnsi" w:hAnsiTheme="minorHAnsi" w:cstheme="minorHAnsi"/>
                <w:iCs/>
                <w:sz w:val="22"/>
                <w:szCs w:val="22"/>
              </w:rPr>
              <w:t xml:space="preserve"> </w:t>
            </w:r>
            <w:proofErr w:type="spellStart"/>
            <w:r>
              <w:rPr>
                <w:rFonts w:asciiTheme="minorHAnsi" w:hAnsiTheme="minorHAnsi" w:cstheme="minorHAnsi"/>
                <w:iCs/>
                <w:sz w:val="22"/>
                <w:szCs w:val="22"/>
              </w:rPr>
              <w:t>mid</w:t>
            </w:r>
            <w:r w:rsidRPr="000C1E52">
              <w:rPr>
                <w:rFonts w:asciiTheme="minorHAnsi" w:hAnsiTheme="minorHAnsi" w:cstheme="minorHAnsi"/>
                <w:iCs/>
                <w:sz w:val="22"/>
                <w:szCs w:val="22"/>
              </w:rPr>
              <w:t xml:space="preserve"> 1990s</w:t>
            </w:r>
            <w:proofErr w:type="spellEnd"/>
            <w:r w:rsidRPr="000C1E52">
              <w:rPr>
                <w:rFonts w:asciiTheme="minorHAnsi" w:hAnsiTheme="minorHAnsi" w:cstheme="minorHAnsi"/>
                <w:iCs/>
                <w:sz w:val="22"/>
                <w:szCs w:val="22"/>
              </w:rPr>
              <w:t xml:space="preserve"> following the fiscal crisis established the foundation for rapid tourism expansion. These reforms prioritised market-led growth,</w:t>
            </w:r>
            <w:r>
              <w:rPr>
                <w:rFonts w:asciiTheme="minorHAnsi" w:hAnsiTheme="minorHAnsi" w:cstheme="minorHAnsi"/>
                <w:iCs/>
                <w:sz w:val="22"/>
                <w:szCs w:val="22"/>
              </w:rPr>
              <w:t xml:space="preserve"> deregulation,</w:t>
            </w:r>
            <w:r w:rsidRPr="000C1E52">
              <w:rPr>
                <w:rFonts w:asciiTheme="minorHAnsi" w:hAnsiTheme="minorHAnsi" w:cstheme="minorHAnsi"/>
                <w:iCs/>
                <w:sz w:val="22"/>
                <w:szCs w:val="22"/>
              </w:rPr>
              <w:t xml:space="preserve"> foreign investment</w:t>
            </w:r>
            <w:r w:rsidRPr="000C1E52">
              <w:rPr>
                <w:rFonts w:asciiTheme="minorHAnsi" w:hAnsiTheme="minorHAnsi" w:cstheme="minorHAnsi"/>
                <w:iCs/>
                <w:szCs w:val="22"/>
                <w:lang w:val="en-CK"/>
              </w:rPr>
              <w:t xml:space="preserve">, </w:t>
            </w:r>
            <w:r w:rsidRPr="000C1E52">
              <w:rPr>
                <w:rFonts w:asciiTheme="minorHAnsi" w:hAnsiTheme="minorHAnsi" w:cstheme="minorHAnsi"/>
                <w:iCs/>
                <w:sz w:val="22"/>
                <w:szCs w:val="22"/>
              </w:rPr>
              <w:t>and private sector development, accelerating tourism-led economic growth. However, dominant growth paradigms underpinning such approaches, including Rostow’s (1960) stages of economic growth model, have been widely criticised for their linear assumptions and failure to account for social inequality. In practice, tourism-driven growth in the Cook Islands has contributed to uneven wealth distribution and socio-economic disparities within the population</w:t>
            </w:r>
            <w:r>
              <w:rPr>
                <w:rFonts w:asciiTheme="minorHAnsi" w:hAnsiTheme="minorHAnsi" w:cstheme="minorHAnsi"/>
                <w:iCs/>
                <w:sz w:val="22"/>
                <w:szCs w:val="22"/>
              </w:rPr>
              <w:t xml:space="preserve"> (Becken et al, 2025)</w:t>
            </w:r>
            <w:r w:rsidRPr="000C1E52">
              <w:rPr>
                <w:rFonts w:asciiTheme="minorHAnsi" w:hAnsiTheme="minorHAnsi" w:cstheme="minorHAnsi"/>
                <w:iCs/>
                <w:sz w:val="22"/>
                <w:szCs w:val="22"/>
              </w:rPr>
              <w:t>.</w:t>
            </w:r>
          </w:p>
          <w:p w14:paraId="6092EFC8" w14:textId="7CDDE852" w:rsidR="00263F56" w:rsidRPr="00263F56" w:rsidRDefault="00263F56" w:rsidP="000924FF">
            <w:pPr>
              <w:pStyle w:val="BulletPoints"/>
              <w:numPr>
                <w:ilvl w:val="0"/>
                <w:numId w:val="0"/>
              </w:numPr>
              <w:spacing w:after="0"/>
              <w:ind w:left="360"/>
              <w:jc w:val="left"/>
              <w:rPr>
                <w:rFonts w:asciiTheme="minorHAnsi" w:hAnsiTheme="minorHAnsi" w:cstheme="minorHAnsi"/>
                <w:iCs/>
                <w:sz w:val="22"/>
                <w:szCs w:val="22"/>
              </w:rPr>
            </w:pPr>
            <w:r w:rsidRPr="00263F56">
              <w:rPr>
                <w:rFonts w:asciiTheme="minorHAnsi" w:hAnsiTheme="minorHAnsi" w:cstheme="minorHAnsi"/>
                <w:iCs/>
                <w:sz w:val="22"/>
                <w:szCs w:val="22"/>
              </w:rPr>
              <w:t>Overall, this research enhances understanding of the changes that have occurred over the past two decades and raises awareness of the impact’s tourism development has had on land, landholders, and the wider society</w:t>
            </w:r>
            <w:r>
              <w:rPr>
                <w:rFonts w:asciiTheme="minorHAnsi" w:hAnsiTheme="minorHAnsi" w:cstheme="minorHAnsi"/>
                <w:iCs/>
                <w:sz w:val="22"/>
                <w:szCs w:val="22"/>
              </w:rPr>
              <w:t xml:space="preserve">. Figure </w:t>
            </w:r>
            <w:r w:rsidR="001417BB">
              <w:rPr>
                <w:rFonts w:asciiTheme="minorHAnsi" w:hAnsiTheme="minorHAnsi" w:cstheme="minorHAnsi"/>
                <w:iCs/>
                <w:sz w:val="22"/>
                <w:szCs w:val="22"/>
              </w:rPr>
              <w:t>4</w:t>
            </w:r>
            <w:r>
              <w:rPr>
                <w:rFonts w:asciiTheme="minorHAnsi" w:hAnsiTheme="minorHAnsi" w:cstheme="minorHAnsi"/>
                <w:iCs/>
                <w:sz w:val="22"/>
                <w:szCs w:val="22"/>
              </w:rPr>
              <w:t xml:space="preserve"> in the </w:t>
            </w:r>
            <w:r>
              <w:rPr>
                <w:rFonts w:asciiTheme="minorHAnsi" w:hAnsiTheme="minorHAnsi" w:cstheme="minorHAnsi"/>
                <w:iCs/>
                <w:sz w:val="22"/>
                <w:szCs w:val="22"/>
              </w:rPr>
              <w:lastRenderedPageBreak/>
              <w:t xml:space="preserve">Appendices illustrates these dynamic changes across twenty years. </w:t>
            </w:r>
          </w:p>
          <w:p w14:paraId="37F934BE" w14:textId="77777777" w:rsidR="006344A5" w:rsidRPr="00921C97" w:rsidRDefault="006344A5" w:rsidP="003306FA">
            <w:pPr>
              <w:pStyle w:val="BulletPoints"/>
              <w:numPr>
                <w:ilvl w:val="0"/>
                <w:numId w:val="0"/>
              </w:numPr>
              <w:spacing w:after="0"/>
              <w:jc w:val="left"/>
              <w:rPr>
                <w:rFonts w:ascii="Tahoma" w:hAnsi="Tahoma" w:cs="Tahoma"/>
                <w:sz w:val="22"/>
                <w:szCs w:val="22"/>
              </w:rPr>
            </w:pPr>
          </w:p>
        </w:tc>
      </w:tr>
      <w:tr w:rsidR="006344A5" w14:paraId="37F934C7" w14:textId="77777777" w:rsidTr="00831C12">
        <w:tc>
          <w:tcPr>
            <w:tcW w:w="5103" w:type="dxa"/>
          </w:tcPr>
          <w:p w14:paraId="2BD6D4C5" w14:textId="77777777" w:rsidR="00831993" w:rsidRDefault="00831993" w:rsidP="003306FA">
            <w:pPr>
              <w:jc w:val="both"/>
              <w:rPr>
                <w:rFonts w:asciiTheme="minorHAnsi" w:hAnsiTheme="minorHAnsi" w:cstheme="minorHAnsi"/>
                <w:iCs/>
                <w:szCs w:val="22"/>
                <w:lang w:bidi="ar-DZ"/>
              </w:rPr>
            </w:pPr>
            <w:r>
              <w:rPr>
                <w:rFonts w:asciiTheme="minorHAnsi" w:hAnsiTheme="minorHAnsi" w:cstheme="minorHAnsi"/>
                <w:iCs/>
                <w:szCs w:val="22"/>
                <w:lang w:bidi="ar-DZ"/>
              </w:rPr>
              <w:lastRenderedPageBreak/>
              <w:t xml:space="preserve">The findings highlighted the implications of using land for tourism development and these included: </w:t>
            </w:r>
          </w:p>
          <w:p w14:paraId="0BD3D60A" w14:textId="3662D4ED" w:rsidR="00831993" w:rsidRPr="00CD1433" w:rsidRDefault="00831993" w:rsidP="00831993">
            <w:pPr>
              <w:pStyle w:val="ListParagraph"/>
              <w:numPr>
                <w:ilvl w:val="0"/>
                <w:numId w:val="27"/>
              </w:numPr>
              <w:jc w:val="both"/>
              <w:rPr>
                <w:rFonts w:asciiTheme="minorHAnsi" w:hAnsiTheme="minorHAnsi" w:cstheme="minorHAnsi"/>
                <w:b/>
                <w:bCs/>
                <w:iCs/>
                <w:szCs w:val="22"/>
                <w:lang w:bidi="ar-DZ"/>
              </w:rPr>
            </w:pPr>
            <w:r w:rsidRPr="00CD1433">
              <w:rPr>
                <w:rFonts w:asciiTheme="minorHAnsi" w:hAnsiTheme="minorHAnsi" w:cstheme="minorHAnsi"/>
                <w:b/>
                <w:bCs/>
                <w:iCs/>
                <w:szCs w:val="22"/>
                <w:lang w:bidi="ar-DZ"/>
              </w:rPr>
              <w:t>Tourism development impacting food security and food sovereignty:</w:t>
            </w:r>
          </w:p>
          <w:p w14:paraId="6259B731" w14:textId="77777777" w:rsidR="00831993" w:rsidRDefault="00831993" w:rsidP="003306FA">
            <w:pPr>
              <w:jc w:val="both"/>
              <w:rPr>
                <w:rFonts w:asciiTheme="minorHAnsi" w:hAnsiTheme="minorHAnsi" w:cstheme="minorHAnsi"/>
                <w:iCs/>
                <w:szCs w:val="22"/>
                <w:lang w:bidi="ar-DZ"/>
              </w:rPr>
            </w:pPr>
          </w:p>
          <w:p w14:paraId="26D5BB54" w14:textId="77777777" w:rsidR="00831993" w:rsidRPr="00831993" w:rsidRDefault="00831993" w:rsidP="00831993">
            <w:pPr>
              <w:ind w:left="720"/>
              <w:jc w:val="both"/>
              <w:rPr>
                <w:rFonts w:asciiTheme="minorHAnsi" w:hAnsiTheme="minorHAnsi" w:cstheme="minorHAnsi"/>
                <w:i/>
                <w:szCs w:val="22"/>
                <w:lang w:bidi="ar-DZ"/>
              </w:rPr>
            </w:pPr>
            <w:r w:rsidRPr="00831993">
              <w:rPr>
                <w:rFonts w:asciiTheme="minorHAnsi" w:hAnsiTheme="minorHAnsi" w:cstheme="minorHAnsi"/>
                <w:i/>
                <w:szCs w:val="22"/>
                <w:lang w:bidi="ar-DZ"/>
              </w:rPr>
              <w:t xml:space="preserve"> We [are] getting </w:t>
            </w:r>
            <w:proofErr w:type="gramStart"/>
            <w:r w:rsidRPr="00831993">
              <w:rPr>
                <w:rFonts w:asciiTheme="minorHAnsi" w:hAnsiTheme="minorHAnsi" w:cstheme="minorHAnsi"/>
                <w:i/>
                <w:szCs w:val="22"/>
                <w:lang w:bidi="ar-DZ"/>
              </w:rPr>
              <w:t>less and less</w:t>
            </w:r>
            <w:proofErr w:type="gramEnd"/>
            <w:r w:rsidRPr="00831993">
              <w:rPr>
                <w:rFonts w:asciiTheme="minorHAnsi" w:hAnsiTheme="minorHAnsi" w:cstheme="minorHAnsi"/>
                <w:i/>
                <w:szCs w:val="22"/>
                <w:lang w:bidi="ar-DZ"/>
              </w:rPr>
              <w:t xml:space="preserve"> agriculture land and you can see the prices of the watermelon now. Before you can buy a big watermelon for $10, now it's $40 - $50 for </w:t>
            </w:r>
            <w:proofErr w:type="gramStart"/>
            <w:r w:rsidRPr="00831993">
              <w:rPr>
                <w:rFonts w:asciiTheme="minorHAnsi" w:hAnsiTheme="minorHAnsi" w:cstheme="minorHAnsi"/>
                <w:i/>
                <w:szCs w:val="22"/>
                <w:lang w:bidi="ar-DZ"/>
              </w:rPr>
              <w:t>a</w:t>
            </w:r>
            <w:proofErr w:type="gramEnd"/>
            <w:r w:rsidRPr="00831993">
              <w:rPr>
                <w:rFonts w:asciiTheme="minorHAnsi" w:hAnsiTheme="minorHAnsi" w:cstheme="minorHAnsi"/>
                <w:i/>
                <w:szCs w:val="22"/>
                <w:lang w:bidi="ar-DZ"/>
              </w:rPr>
              <w:t xml:space="preserve"> 8 kilo watermelon, why? Because there's not enough land to plant the watermelon and whatever land is available, you've got tomatoes on it, you got other stuff, you got </w:t>
            </w:r>
            <w:proofErr w:type="spellStart"/>
            <w:r w:rsidRPr="00831993">
              <w:rPr>
                <w:rFonts w:asciiTheme="minorHAnsi" w:hAnsiTheme="minorHAnsi" w:cstheme="minorHAnsi"/>
                <w:i/>
                <w:szCs w:val="22"/>
                <w:lang w:bidi="ar-DZ"/>
              </w:rPr>
              <w:t>maniota</w:t>
            </w:r>
            <w:proofErr w:type="spellEnd"/>
            <w:r w:rsidRPr="00831993">
              <w:rPr>
                <w:rFonts w:asciiTheme="minorHAnsi" w:hAnsiTheme="minorHAnsi" w:cstheme="minorHAnsi"/>
                <w:i/>
                <w:szCs w:val="22"/>
                <w:lang w:bidi="ar-DZ"/>
              </w:rPr>
              <w:t xml:space="preserve"> [arrow root], you got kumara [sweet potato] and not enough land” Papa D</w:t>
            </w:r>
          </w:p>
          <w:p w14:paraId="3EB43A17" w14:textId="708047E6" w:rsidR="00831993" w:rsidRDefault="00831993" w:rsidP="003306FA">
            <w:pPr>
              <w:jc w:val="both"/>
              <w:rPr>
                <w:rFonts w:asciiTheme="minorHAnsi" w:hAnsiTheme="minorHAnsi" w:cstheme="minorHAnsi"/>
                <w:iCs/>
                <w:szCs w:val="22"/>
                <w:lang w:bidi="ar-DZ"/>
              </w:rPr>
            </w:pPr>
          </w:p>
          <w:p w14:paraId="69766E89" w14:textId="1B32E29B" w:rsidR="00831993" w:rsidRPr="00CD1433" w:rsidRDefault="00831993" w:rsidP="00831993">
            <w:pPr>
              <w:pStyle w:val="ListParagraph"/>
              <w:numPr>
                <w:ilvl w:val="0"/>
                <w:numId w:val="27"/>
              </w:numPr>
              <w:jc w:val="both"/>
              <w:rPr>
                <w:rFonts w:asciiTheme="minorHAnsi" w:hAnsiTheme="minorHAnsi" w:cstheme="minorHAnsi"/>
                <w:b/>
                <w:bCs/>
                <w:iCs/>
                <w:szCs w:val="22"/>
                <w:lang w:bidi="ar-DZ"/>
              </w:rPr>
            </w:pPr>
            <w:r w:rsidRPr="00CD1433">
              <w:rPr>
                <w:rFonts w:asciiTheme="minorHAnsi" w:hAnsiTheme="minorHAnsi" w:cstheme="minorHAnsi"/>
                <w:b/>
                <w:bCs/>
                <w:iCs/>
                <w:szCs w:val="22"/>
                <w:lang w:bidi="ar-DZ"/>
              </w:rPr>
              <w:t>Challenges presented by foreign investment</w:t>
            </w:r>
          </w:p>
          <w:p w14:paraId="35EC116C" w14:textId="77777777" w:rsidR="00831993" w:rsidRDefault="00831993" w:rsidP="00831993">
            <w:pPr>
              <w:ind w:left="720"/>
              <w:jc w:val="both"/>
              <w:rPr>
                <w:rFonts w:asciiTheme="minorHAnsi" w:hAnsiTheme="minorHAnsi" w:cstheme="minorHAnsi"/>
                <w:i/>
                <w:szCs w:val="22"/>
                <w:lang w:bidi="ar-DZ"/>
              </w:rPr>
            </w:pPr>
            <w:r w:rsidRPr="00831993">
              <w:rPr>
                <w:rFonts w:asciiTheme="minorHAnsi" w:hAnsiTheme="minorHAnsi" w:cstheme="minorHAnsi"/>
                <w:i/>
                <w:szCs w:val="22"/>
                <w:lang w:bidi="ar-DZ"/>
              </w:rPr>
              <w:t xml:space="preserve">“Another thing with regards to our land tenure is, we almost have revolving leases, you know. What good does that do? For example, look at the Edgewater ok, tourism wise, how many of our locals have given land, where in the lease it says they have first right of refusal to buy back the property - where they </w:t>
            </w:r>
            <w:proofErr w:type="spellStart"/>
            <w:r w:rsidRPr="00831993">
              <w:rPr>
                <w:rFonts w:asciiTheme="minorHAnsi" w:hAnsiTheme="minorHAnsi" w:cstheme="minorHAnsi"/>
                <w:i/>
                <w:szCs w:val="22"/>
                <w:lang w:bidi="ar-DZ"/>
              </w:rPr>
              <w:t>gonna</w:t>
            </w:r>
            <w:proofErr w:type="spellEnd"/>
            <w:r w:rsidRPr="00831993">
              <w:rPr>
                <w:rFonts w:asciiTheme="minorHAnsi" w:hAnsiTheme="minorHAnsi" w:cstheme="minorHAnsi"/>
                <w:i/>
                <w:szCs w:val="22"/>
                <w:lang w:bidi="ar-DZ"/>
              </w:rPr>
              <w:t xml:space="preserve"> have $20 million to buy it back, otherwise it rolls over. I think at some point, there's got to be an end to it, who is getting the money from that? Where is the money going? Mama G</w:t>
            </w:r>
          </w:p>
          <w:p w14:paraId="63E2FADA" w14:textId="77777777" w:rsidR="00CD1433" w:rsidRDefault="00CD1433" w:rsidP="00831993">
            <w:pPr>
              <w:ind w:left="720"/>
              <w:jc w:val="both"/>
              <w:rPr>
                <w:rFonts w:asciiTheme="minorHAnsi" w:hAnsiTheme="minorHAnsi" w:cstheme="minorHAnsi"/>
                <w:i/>
                <w:szCs w:val="22"/>
                <w:lang w:bidi="ar-DZ"/>
              </w:rPr>
            </w:pPr>
          </w:p>
          <w:p w14:paraId="43657733" w14:textId="1BF66026" w:rsidR="00CD1433" w:rsidRPr="00CD1433" w:rsidRDefault="00CD1433" w:rsidP="00CD1433">
            <w:pPr>
              <w:pStyle w:val="ListParagraph"/>
              <w:numPr>
                <w:ilvl w:val="0"/>
                <w:numId w:val="27"/>
              </w:numPr>
              <w:jc w:val="both"/>
              <w:rPr>
                <w:rFonts w:asciiTheme="minorHAnsi" w:hAnsiTheme="minorHAnsi" w:cstheme="minorHAnsi"/>
                <w:b/>
                <w:bCs/>
                <w:iCs/>
                <w:szCs w:val="22"/>
                <w:lang w:bidi="ar-DZ"/>
              </w:rPr>
            </w:pPr>
            <w:r w:rsidRPr="00CD1433">
              <w:rPr>
                <w:rFonts w:asciiTheme="minorHAnsi" w:hAnsiTheme="minorHAnsi" w:cstheme="minorHAnsi"/>
                <w:b/>
                <w:bCs/>
                <w:iCs/>
                <w:szCs w:val="22"/>
                <w:lang w:bidi="ar-DZ"/>
              </w:rPr>
              <w:t xml:space="preserve">Erosion of customary practices and increasing environmental risks </w:t>
            </w:r>
          </w:p>
          <w:p w14:paraId="3B9B16B5" w14:textId="77777777" w:rsidR="00CD1433" w:rsidRPr="00CD1433" w:rsidRDefault="00CD1433" w:rsidP="00CD1433">
            <w:pPr>
              <w:pStyle w:val="ListParagraph"/>
              <w:jc w:val="both"/>
              <w:rPr>
                <w:rFonts w:asciiTheme="minorHAnsi" w:hAnsiTheme="minorHAnsi" w:cstheme="minorHAnsi"/>
                <w:iCs/>
                <w:szCs w:val="22"/>
                <w:lang w:bidi="ar-DZ"/>
              </w:rPr>
            </w:pPr>
          </w:p>
          <w:p w14:paraId="0F7744D0" w14:textId="77777777" w:rsidR="00CD1433" w:rsidRDefault="00CD1433" w:rsidP="00CD1433">
            <w:pPr>
              <w:ind w:left="720"/>
              <w:jc w:val="both"/>
              <w:rPr>
                <w:rFonts w:ascii="Constantia" w:hAnsi="Constantia"/>
                <w:i/>
                <w:iCs/>
                <w:color w:val="212529"/>
                <w:sz w:val="24"/>
                <w:szCs w:val="24"/>
              </w:rPr>
            </w:pPr>
            <w:r w:rsidRPr="00CD1433">
              <w:rPr>
                <w:rFonts w:asciiTheme="minorHAnsi" w:hAnsiTheme="minorHAnsi" w:cstheme="minorHAnsi"/>
                <w:i/>
                <w:szCs w:val="22"/>
                <w:lang w:bidi="ar-DZ"/>
              </w:rPr>
              <w:t>“...I come from the perspective of the physical land, that impact, say changing the land itself, for example like, Nautilus [a hotel] was a wetland, its now, no longer a wetland so that’ll impact on the village – because that</w:t>
            </w:r>
            <w:r w:rsidRPr="00640A14">
              <w:rPr>
                <w:rFonts w:ascii="Constantia" w:hAnsi="Constantia"/>
                <w:i/>
                <w:iCs/>
                <w:color w:val="212529"/>
                <w:sz w:val="24"/>
                <w:szCs w:val="24"/>
              </w:rPr>
              <w:t xml:space="preserve"> </w:t>
            </w:r>
            <w:r w:rsidRPr="00CD1433">
              <w:rPr>
                <w:rFonts w:asciiTheme="minorHAnsi" w:hAnsiTheme="minorHAnsi" w:cstheme="minorHAnsi"/>
                <w:i/>
                <w:szCs w:val="22"/>
                <w:lang w:bidi="ar-DZ"/>
              </w:rPr>
              <w:t>wetland doesn’t exist anymore” Maine J</w:t>
            </w:r>
            <w:r w:rsidRPr="00640A14">
              <w:rPr>
                <w:rFonts w:ascii="Constantia" w:hAnsi="Constantia"/>
                <w:i/>
                <w:iCs/>
                <w:color w:val="212529"/>
                <w:sz w:val="24"/>
                <w:szCs w:val="24"/>
              </w:rPr>
              <w:t xml:space="preserve"> </w:t>
            </w:r>
          </w:p>
          <w:p w14:paraId="1B5F8DE3" w14:textId="77777777" w:rsidR="00CD1433" w:rsidRDefault="00CD1433" w:rsidP="00CD1433">
            <w:pPr>
              <w:ind w:left="720"/>
              <w:jc w:val="both"/>
              <w:rPr>
                <w:rFonts w:ascii="Constantia" w:hAnsi="Constantia"/>
                <w:i/>
                <w:iCs/>
                <w:color w:val="212529"/>
                <w:sz w:val="24"/>
                <w:szCs w:val="24"/>
              </w:rPr>
            </w:pPr>
          </w:p>
          <w:p w14:paraId="2C6BEB9F" w14:textId="5495C9C3" w:rsidR="00CD1433" w:rsidRPr="00CD1433" w:rsidRDefault="00CD1433" w:rsidP="00CD1433">
            <w:pPr>
              <w:pStyle w:val="ListParagraph"/>
              <w:numPr>
                <w:ilvl w:val="0"/>
                <w:numId w:val="27"/>
              </w:numPr>
              <w:jc w:val="both"/>
              <w:rPr>
                <w:rFonts w:asciiTheme="minorHAnsi" w:hAnsiTheme="minorHAnsi" w:cstheme="minorHAnsi"/>
                <w:b/>
                <w:bCs/>
                <w:iCs/>
                <w:szCs w:val="22"/>
                <w:lang w:bidi="ar-DZ"/>
              </w:rPr>
            </w:pPr>
            <w:r w:rsidRPr="00CD1433">
              <w:rPr>
                <w:rFonts w:asciiTheme="minorHAnsi" w:hAnsiTheme="minorHAnsi" w:cstheme="minorHAnsi"/>
                <w:b/>
                <w:bCs/>
                <w:iCs/>
                <w:szCs w:val="22"/>
                <w:lang w:bidi="ar-DZ"/>
              </w:rPr>
              <w:t>Displacement of future generations: landless in paradise?</w:t>
            </w:r>
          </w:p>
          <w:p w14:paraId="3DAA0D31" w14:textId="77777777" w:rsidR="00CD1433" w:rsidRPr="00CD1433" w:rsidRDefault="00CD1433" w:rsidP="00CD1433">
            <w:pPr>
              <w:ind w:left="720"/>
              <w:jc w:val="both"/>
              <w:rPr>
                <w:rFonts w:asciiTheme="minorHAnsi" w:hAnsiTheme="minorHAnsi" w:cstheme="minorHAnsi"/>
                <w:i/>
                <w:szCs w:val="22"/>
                <w:lang w:bidi="ar-DZ"/>
              </w:rPr>
            </w:pPr>
            <w:r w:rsidRPr="00CD1433">
              <w:rPr>
                <w:rFonts w:asciiTheme="minorHAnsi" w:hAnsiTheme="minorHAnsi" w:cstheme="minorHAnsi"/>
                <w:i/>
                <w:szCs w:val="22"/>
                <w:lang w:bidi="ar-DZ"/>
              </w:rPr>
              <w:t>“If all available land is consumed today, future Cook Islanders will be locked out of their ancestral lands, unable to access space for housing, agriculture, or cultural practice. Future generations may end up being homeless” Maine J</w:t>
            </w:r>
          </w:p>
          <w:p w14:paraId="7899E8DD" w14:textId="77777777" w:rsidR="00CD1433" w:rsidRPr="00CD1433" w:rsidRDefault="00CD1433" w:rsidP="00CD1433">
            <w:pPr>
              <w:pStyle w:val="ListParagraph"/>
              <w:jc w:val="both"/>
              <w:rPr>
                <w:rFonts w:asciiTheme="minorHAnsi" w:hAnsiTheme="minorHAnsi" w:cstheme="minorHAnsi"/>
                <w:iCs/>
                <w:szCs w:val="22"/>
                <w:lang w:bidi="ar-DZ"/>
              </w:rPr>
            </w:pPr>
          </w:p>
          <w:p w14:paraId="5695374B" w14:textId="0A2E9087" w:rsidR="00831993" w:rsidRPr="00CD1433" w:rsidRDefault="00CD1433" w:rsidP="00CD1433">
            <w:pPr>
              <w:pStyle w:val="ListParagraph"/>
              <w:numPr>
                <w:ilvl w:val="0"/>
                <w:numId w:val="27"/>
              </w:numPr>
              <w:jc w:val="both"/>
              <w:rPr>
                <w:rFonts w:asciiTheme="minorHAnsi" w:hAnsiTheme="minorHAnsi" w:cstheme="minorHAnsi"/>
                <w:b/>
                <w:bCs/>
                <w:iCs/>
                <w:szCs w:val="22"/>
                <w:lang w:bidi="ar-DZ"/>
              </w:rPr>
            </w:pPr>
            <w:r w:rsidRPr="00CD1433">
              <w:rPr>
                <w:rFonts w:asciiTheme="minorHAnsi" w:hAnsiTheme="minorHAnsi" w:cstheme="minorHAnsi"/>
                <w:b/>
                <w:bCs/>
                <w:iCs/>
                <w:szCs w:val="22"/>
                <w:lang w:bidi="ar-DZ"/>
              </w:rPr>
              <w:t>Risks of using land for credit</w:t>
            </w:r>
          </w:p>
          <w:p w14:paraId="2B8ED090" w14:textId="77777777" w:rsidR="00CD1433" w:rsidRPr="00CD1433" w:rsidRDefault="00CD1433" w:rsidP="00CD1433">
            <w:pPr>
              <w:pStyle w:val="ListParagraph"/>
              <w:jc w:val="both"/>
              <w:rPr>
                <w:rFonts w:asciiTheme="minorHAnsi" w:hAnsiTheme="minorHAnsi" w:cstheme="minorHAnsi"/>
                <w:iCs/>
                <w:szCs w:val="22"/>
                <w:lang w:bidi="ar-DZ"/>
              </w:rPr>
            </w:pPr>
            <w:r w:rsidRPr="00CD1433">
              <w:rPr>
                <w:rFonts w:asciiTheme="minorHAnsi" w:hAnsiTheme="minorHAnsi" w:cstheme="minorHAnsi"/>
                <w:iCs/>
                <w:szCs w:val="22"/>
                <w:lang w:bidi="ar-DZ"/>
              </w:rPr>
              <w:t xml:space="preserve">Another key concern that emerged was the inheritance of debt rather than land. One respondent, when asked about the main </w:t>
            </w:r>
            <w:r w:rsidRPr="00CD1433">
              <w:rPr>
                <w:rFonts w:asciiTheme="minorHAnsi" w:hAnsiTheme="minorHAnsi" w:cstheme="minorHAnsi"/>
                <w:iCs/>
                <w:szCs w:val="22"/>
                <w:lang w:bidi="ar-DZ"/>
              </w:rPr>
              <w:t xml:space="preserve">challenges facing future landholders answered: </w:t>
            </w:r>
          </w:p>
          <w:p w14:paraId="20E3DEE9" w14:textId="77777777" w:rsidR="00CD1433" w:rsidRPr="00CD1433" w:rsidRDefault="00CD1433" w:rsidP="00CD1433">
            <w:pPr>
              <w:pStyle w:val="ListParagraph"/>
              <w:jc w:val="both"/>
              <w:rPr>
                <w:rFonts w:asciiTheme="minorHAnsi" w:hAnsiTheme="minorHAnsi" w:cstheme="minorHAnsi"/>
                <w:i/>
                <w:szCs w:val="22"/>
                <w:lang w:bidi="ar-DZ"/>
              </w:rPr>
            </w:pPr>
            <w:r w:rsidRPr="00CD1433">
              <w:rPr>
                <w:rFonts w:asciiTheme="minorHAnsi" w:hAnsiTheme="minorHAnsi" w:cstheme="minorHAnsi"/>
                <w:i/>
                <w:szCs w:val="22"/>
                <w:lang w:bidi="ar-DZ"/>
              </w:rPr>
              <w:t>“Managing debt - because a lot of these leases are still in debt - the parents have died and still in debt, the generations coming up will inherit debt, not land but debt. I think that's something that we need to be aware of.” Maine M</w:t>
            </w:r>
          </w:p>
          <w:p w14:paraId="29A33679" w14:textId="77777777" w:rsidR="00CD1433" w:rsidRPr="00831993" w:rsidRDefault="00CD1433" w:rsidP="00CD1433">
            <w:pPr>
              <w:pStyle w:val="ListParagraph"/>
              <w:jc w:val="both"/>
              <w:rPr>
                <w:rFonts w:asciiTheme="minorHAnsi" w:hAnsiTheme="minorHAnsi" w:cstheme="minorHAnsi"/>
                <w:iCs/>
                <w:szCs w:val="22"/>
                <w:lang w:bidi="ar-DZ"/>
              </w:rPr>
            </w:pPr>
          </w:p>
          <w:p w14:paraId="25156E6D" w14:textId="4B33F170" w:rsidR="00F97284" w:rsidRPr="00F97284" w:rsidRDefault="00F97284" w:rsidP="00F97284">
            <w:pPr>
              <w:pStyle w:val="BulletPoints"/>
              <w:numPr>
                <w:ilvl w:val="0"/>
                <w:numId w:val="0"/>
              </w:numPr>
              <w:ind w:left="720"/>
              <w:rPr>
                <w:rFonts w:asciiTheme="minorHAnsi" w:hAnsiTheme="minorHAnsi" w:cstheme="minorHAnsi"/>
                <w:b/>
                <w:color w:val="864EA8" w:themeColor="accent1" w:themeShade="BF"/>
              </w:rPr>
            </w:pPr>
            <w:r w:rsidRPr="00A62056">
              <w:rPr>
                <w:rFonts w:asciiTheme="minorHAnsi" w:hAnsiTheme="minorHAnsi" w:cstheme="minorHAnsi"/>
                <w:b/>
                <w:color w:val="864EA8" w:themeColor="accent1" w:themeShade="BF"/>
              </w:rPr>
              <w:t>Implications</w:t>
            </w:r>
          </w:p>
          <w:p w14:paraId="0C42BCA6" w14:textId="407A0B6F" w:rsidR="003306FA" w:rsidRPr="003306FA" w:rsidRDefault="003306FA" w:rsidP="00CD1433">
            <w:pPr>
              <w:ind w:left="720"/>
              <w:jc w:val="both"/>
              <w:rPr>
                <w:rFonts w:asciiTheme="minorHAnsi" w:hAnsiTheme="minorHAnsi" w:cstheme="minorHAnsi"/>
                <w:iCs/>
                <w:szCs w:val="22"/>
                <w:lang w:bidi="ar-DZ"/>
              </w:rPr>
            </w:pPr>
            <w:r w:rsidRPr="003306FA">
              <w:rPr>
                <w:rFonts w:asciiTheme="minorHAnsi" w:hAnsiTheme="minorHAnsi" w:cstheme="minorHAnsi"/>
                <w:iCs/>
                <w:szCs w:val="22"/>
                <w:lang w:bidi="ar-DZ"/>
              </w:rPr>
              <w:t>The findings carry important implications for land governance, tourism policy, and development planning, highlighting the uneven effects of legal and financial systems on landholders. Viewed through a post</w:t>
            </w:r>
            <w:r w:rsidRPr="003306FA">
              <w:rPr>
                <w:rFonts w:asciiTheme="minorHAnsi" w:hAnsiTheme="minorHAnsi" w:cstheme="minorHAnsi"/>
                <w:iCs/>
                <w:szCs w:val="22"/>
                <w:lang w:bidi="ar-DZ"/>
              </w:rPr>
              <w:noBreakHyphen/>
              <w:t xml:space="preserve">development lens, the research affirms the value of local knowledge, everyday practices, and customary governance systems marginalised through colonial and modern development processes. Amid growing pressure to balance economic growth with sustainability in the Cook Islands (Becken et al., 2025), it underscores the importance of recognising land as more than an asset to invest in. </w:t>
            </w:r>
          </w:p>
          <w:p w14:paraId="774BDE94" w14:textId="77777777" w:rsidR="003306FA" w:rsidRPr="00793C12" w:rsidRDefault="003306FA" w:rsidP="00CD1433">
            <w:pPr>
              <w:ind w:left="720"/>
              <w:jc w:val="both"/>
              <w:rPr>
                <w:rFonts w:ascii="Constantia" w:hAnsi="Constantia"/>
                <w:color w:val="212529"/>
                <w:sz w:val="24"/>
                <w:szCs w:val="24"/>
              </w:rPr>
            </w:pPr>
            <w:r w:rsidRPr="003306FA">
              <w:rPr>
                <w:rFonts w:asciiTheme="minorHAnsi" w:hAnsiTheme="minorHAnsi" w:cstheme="minorHAnsi"/>
                <w:iCs/>
                <w:szCs w:val="22"/>
                <w:lang w:bidi="ar-DZ"/>
              </w:rPr>
              <w:t>Consistent with the growing Pacific land-tourism scholarship (Antonio &amp; Griffith-Charles, 2019; Bryant-</w:t>
            </w:r>
            <w:proofErr w:type="spellStart"/>
            <w:r w:rsidRPr="003306FA">
              <w:rPr>
                <w:rFonts w:asciiTheme="minorHAnsi" w:hAnsiTheme="minorHAnsi" w:cstheme="minorHAnsi"/>
                <w:iCs/>
                <w:szCs w:val="22"/>
                <w:lang w:bidi="ar-DZ"/>
              </w:rPr>
              <w:t>Tokalau</w:t>
            </w:r>
            <w:proofErr w:type="spellEnd"/>
            <w:r w:rsidRPr="003306FA">
              <w:rPr>
                <w:rFonts w:asciiTheme="minorHAnsi" w:hAnsiTheme="minorHAnsi" w:cstheme="minorHAnsi"/>
                <w:iCs/>
                <w:szCs w:val="22"/>
                <w:lang w:bidi="ar-DZ"/>
              </w:rPr>
              <w:t xml:space="preserve">, 2017; </w:t>
            </w:r>
            <w:proofErr w:type="spellStart"/>
            <w:r w:rsidRPr="003306FA">
              <w:rPr>
                <w:rFonts w:asciiTheme="minorHAnsi" w:hAnsiTheme="minorHAnsi" w:cstheme="minorHAnsi"/>
                <w:iCs/>
                <w:szCs w:val="22"/>
                <w:lang w:bidi="ar-DZ"/>
              </w:rPr>
              <w:t>Scheyvens</w:t>
            </w:r>
            <w:proofErr w:type="spellEnd"/>
            <w:r w:rsidRPr="003306FA">
              <w:rPr>
                <w:rFonts w:asciiTheme="minorHAnsi" w:hAnsiTheme="minorHAnsi" w:cstheme="minorHAnsi"/>
                <w:iCs/>
                <w:szCs w:val="22"/>
                <w:lang w:bidi="ar-DZ"/>
              </w:rPr>
              <w:t xml:space="preserve"> et al., 2020; Vogt, 2019) the findings call for development pathways that respect customary governance, strengthen collective agency, and protect the cultural and environmental foundations upon which community wellbeing and tourism depend. In doing so, the study</w:t>
            </w:r>
            <w:r w:rsidRPr="00793C12">
              <w:rPr>
                <w:rFonts w:ascii="Constantia" w:hAnsi="Constantia"/>
                <w:color w:val="212529"/>
                <w:sz w:val="24"/>
                <w:szCs w:val="24"/>
              </w:rPr>
              <w:t xml:space="preserve"> </w:t>
            </w:r>
            <w:r w:rsidRPr="003306FA">
              <w:rPr>
                <w:rFonts w:asciiTheme="minorHAnsi" w:hAnsiTheme="minorHAnsi" w:cstheme="minorHAnsi"/>
                <w:iCs/>
                <w:szCs w:val="22"/>
                <w:lang w:bidi="ar-DZ"/>
              </w:rPr>
              <w:t>contributes to wider debates on how Pacific societies can pursue development on their own terms while engaging with a globalised economy.</w:t>
            </w:r>
          </w:p>
          <w:p w14:paraId="37F934C4" w14:textId="791FEE30" w:rsidR="006344A5" w:rsidRPr="00511A84" w:rsidRDefault="006344A5" w:rsidP="003306FA">
            <w:pPr>
              <w:pStyle w:val="BulletPoints"/>
              <w:numPr>
                <w:ilvl w:val="0"/>
                <w:numId w:val="0"/>
              </w:numPr>
              <w:spacing w:after="0"/>
              <w:jc w:val="left"/>
              <w:rPr>
                <w:rFonts w:ascii="Tahoma" w:hAnsi="Tahoma" w:cs="Tahoma"/>
                <w:i/>
                <w:color w:val="800080"/>
                <w:sz w:val="22"/>
                <w:szCs w:val="22"/>
              </w:rPr>
            </w:pPr>
          </w:p>
          <w:p w14:paraId="0DBFF21F" w14:textId="77777777" w:rsidR="00B45DA4" w:rsidRPr="00B45DA4" w:rsidRDefault="00B45DA4" w:rsidP="00CD1433">
            <w:pPr>
              <w:pStyle w:val="BulletPoints"/>
              <w:numPr>
                <w:ilvl w:val="0"/>
                <w:numId w:val="0"/>
              </w:numPr>
              <w:spacing w:after="0"/>
              <w:ind w:left="720"/>
              <w:jc w:val="left"/>
              <w:rPr>
                <w:rFonts w:asciiTheme="minorHAnsi" w:hAnsiTheme="minorHAnsi" w:cstheme="minorHAnsi"/>
                <w:iCs/>
                <w:sz w:val="22"/>
                <w:szCs w:val="22"/>
              </w:rPr>
            </w:pPr>
            <w:r w:rsidRPr="00B45DA4">
              <w:rPr>
                <w:rFonts w:asciiTheme="minorHAnsi" w:hAnsiTheme="minorHAnsi" w:cstheme="minorHAnsi"/>
                <w:iCs/>
                <w:sz w:val="22"/>
                <w:szCs w:val="22"/>
              </w:rPr>
              <w:t>The Cook Islands is a Realm country, and the relationship between Aotearoa New Zealand and the Cook Islands is longstanding and deeply embedded across political, economic, and social spheres. Aotearoa New Zealand has provided substantial development assistance over many years, including core sector support to priority areas such as tourism.</w:t>
            </w:r>
          </w:p>
          <w:p w14:paraId="17B84AFB" w14:textId="77777777" w:rsidR="00B45DA4" w:rsidRPr="00B45DA4" w:rsidRDefault="00B45DA4" w:rsidP="00CD1433">
            <w:pPr>
              <w:pStyle w:val="BulletPoints"/>
              <w:numPr>
                <w:ilvl w:val="0"/>
                <w:numId w:val="0"/>
              </w:numPr>
              <w:spacing w:after="0"/>
              <w:ind w:left="720"/>
              <w:jc w:val="left"/>
              <w:rPr>
                <w:rFonts w:asciiTheme="minorHAnsi" w:hAnsiTheme="minorHAnsi" w:cstheme="minorHAnsi"/>
                <w:iCs/>
                <w:sz w:val="22"/>
                <w:szCs w:val="22"/>
              </w:rPr>
            </w:pPr>
            <w:r w:rsidRPr="00B45DA4">
              <w:rPr>
                <w:rFonts w:asciiTheme="minorHAnsi" w:hAnsiTheme="minorHAnsi" w:cstheme="minorHAnsi"/>
                <w:iCs/>
                <w:sz w:val="22"/>
                <w:szCs w:val="22"/>
              </w:rPr>
              <w:t xml:space="preserve">To date, much of this support has focused on economic growth, particularly through tourism marketing and industry expansion. However, growing evidence suggests that tourism on Rarotonga has reached, or is approaching, critical thresholds in terms of environmental pressure, land use, and social </w:t>
            </w:r>
            <w:r w:rsidRPr="00B45DA4">
              <w:rPr>
                <w:rFonts w:asciiTheme="minorHAnsi" w:hAnsiTheme="minorHAnsi" w:cstheme="minorHAnsi"/>
                <w:iCs/>
                <w:sz w:val="22"/>
                <w:szCs w:val="22"/>
              </w:rPr>
              <w:lastRenderedPageBreak/>
              <w:t>impacts. This highlights an important development challenge that aligns closely with New Zealand’s priorities around sustainable development, resilience, and good governance in the Pacific.</w:t>
            </w:r>
          </w:p>
          <w:p w14:paraId="77B0A809" w14:textId="77777777" w:rsidR="00F97284" w:rsidRDefault="00F97284" w:rsidP="003306FA">
            <w:pPr>
              <w:pStyle w:val="BulletPoints"/>
              <w:numPr>
                <w:ilvl w:val="0"/>
                <w:numId w:val="0"/>
              </w:numPr>
              <w:spacing w:after="0"/>
              <w:jc w:val="left"/>
              <w:rPr>
                <w:rFonts w:asciiTheme="minorHAnsi" w:hAnsiTheme="minorHAnsi" w:cstheme="minorHAnsi"/>
                <w:iCs/>
                <w:sz w:val="22"/>
                <w:szCs w:val="22"/>
              </w:rPr>
            </w:pPr>
          </w:p>
          <w:p w14:paraId="1421501C" w14:textId="2722A8C0" w:rsidR="00B45DA4" w:rsidRPr="00B45DA4" w:rsidRDefault="00B45DA4" w:rsidP="003306FA">
            <w:pPr>
              <w:pStyle w:val="BulletPoints"/>
              <w:numPr>
                <w:ilvl w:val="0"/>
                <w:numId w:val="0"/>
              </w:numPr>
              <w:spacing w:after="0"/>
              <w:jc w:val="left"/>
              <w:rPr>
                <w:rFonts w:asciiTheme="minorHAnsi" w:hAnsiTheme="minorHAnsi" w:cstheme="minorHAnsi"/>
                <w:iCs/>
                <w:sz w:val="22"/>
                <w:szCs w:val="22"/>
              </w:rPr>
            </w:pPr>
            <w:r w:rsidRPr="00B45DA4">
              <w:rPr>
                <w:rFonts w:asciiTheme="minorHAnsi" w:hAnsiTheme="minorHAnsi" w:cstheme="minorHAnsi"/>
                <w:iCs/>
                <w:sz w:val="22"/>
                <w:szCs w:val="22"/>
              </w:rPr>
              <w:t>This research directly contributes to these priorities by examining how land tenure influences tourism development outcomes and by identifying the implications of long</w:t>
            </w:r>
            <w:r w:rsidRPr="00B45DA4">
              <w:rPr>
                <w:rFonts w:asciiTheme="minorHAnsi" w:hAnsiTheme="minorHAnsi" w:cstheme="minorHAnsi"/>
                <w:iCs/>
                <w:sz w:val="22"/>
                <w:szCs w:val="22"/>
              </w:rPr>
              <w:noBreakHyphen/>
              <w:t xml:space="preserve">term tourism growth for landholders, communities, and destination sustainability. The findings suggest that future development cooperation and core sector support may need to incorporate stronger destination </w:t>
            </w:r>
            <w:r w:rsidRPr="00B45DA4">
              <w:rPr>
                <w:rFonts w:asciiTheme="minorHAnsi" w:hAnsiTheme="minorHAnsi" w:cstheme="minorHAnsi"/>
                <w:iCs/>
                <w:sz w:val="22"/>
                <w:szCs w:val="22"/>
              </w:rPr>
              <w:t>management safeguards, including land</w:t>
            </w:r>
            <w:r w:rsidRPr="00B45DA4">
              <w:rPr>
                <w:rFonts w:asciiTheme="minorHAnsi" w:hAnsiTheme="minorHAnsi" w:cstheme="minorHAnsi"/>
                <w:iCs/>
                <w:sz w:val="22"/>
                <w:szCs w:val="22"/>
              </w:rPr>
              <w:noBreakHyphen/>
              <w:t>based planning, carrying</w:t>
            </w:r>
            <w:r w:rsidRPr="00B45DA4">
              <w:rPr>
                <w:rFonts w:asciiTheme="minorHAnsi" w:hAnsiTheme="minorHAnsi" w:cstheme="minorHAnsi"/>
                <w:iCs/>
                <w:sz w:val="22"/>
                <w:szCs w:val="22"/>
              </w:rPr>
              <w:noBreakHyphen/>
              <w:t xml:space="preserve">capacity considerations, and </w:t>
            </w:r>
            <w:r w:rsidR="001417BB">
              <w:rPr>
                <w:rFonts w:asciiTheme="minorHAnsi" w:hAnsiTheme="minorHAnsi" w:cstheme="minorHAnsi"/>
                <w:iCs/>
                <w:sz w:val="22"/>
                <w:szCs w:val="22"/>
              </w:rPr>
              <w:t xml:space="preserve">meaningful </w:t>
            </w:r>
            <w:r w:rsidRPr="00B45DA4">
              <w:rPr>
                <w:rFonts w:asciiTheme="minorHAnsi" w:hAnsiTheme="minorHAnsi" w:cstheme="minorHAnsi"/>
                <w:iCs/>
                <w:sz w:val="22"/>
                <w:szCs w:val="22"/>
              </w:rPr>
              <w:t>landholder engagement.</w:t>
            </w:r>
          </w:p>
          <w:p w14:paraId="37F934C6" w14:textId="77777777" w:rsidR="006344A5" w:rsidRPr="00921C97" w:rsidRDefault="006344A5" w:rsidP="003306FA">
            <w:pPr>
              <w:pStyle w:val="BulletPoints"/>
              <w:numPr>
                <w:ilvl w:val="0"/>
                <w:numId w:val="0"/>
              </w:numPr>
              <w:spacing w:after="0"/>
              <w:jc w:val="left"/>
              <w:rPr>
                <w:rFonts w:ascii="Tahoma" w:hAnsi="Tahoma" w:cs="Tahoma"/>
                <w:sz w:val="22"/>
                <w:szCs w:val="22"/>
              </w:rPr>
            </w:pPr>
          </w:p>
        </w:tc>
      </w:tr>
      <w:tr w:rsidR="006344A5" w:rsidRPr="00B45DA4" w14:paraId="37F934D1" w14:textId="77777777" w:rsidTr="00831C12">
        <w:tc>
          <w:tcPr>
            <w:tcW w:w="5103" w:type="dxa"/>
          </w:tcPr>
          <w:p w14:paraId="7717E66E" w14:textId="77777777" w:rsidR="00B45DA4" w:rsidRDefault="00B45DA4" w:rsidP="00CF05B4">
            <w:pPr>
              <w:pStyle w:val="BulletPoints"/>
              <w:numPr>
                <w:ilvl w:val="0"/>
                <w:numId w:val="0"/>
              </w:numPr>
              <w:jc w:val="left"/>
              <w:rPr>
                <w:rFonts w:asciiTheme="minorHAnsi" w:hAnsiTheme="minorHAnsi" w:cstheme="minorHAnsi"/>
                <w:b/>
                <w:color w:val="864EA8" w:themeColor="accent1" w:themeShade="BF"/>
              </w:rPr>
            </w:pPr>
          </w:p>
          <w:p w14:paraId="37F934CE" w14:textId="6AEFF6AE" w:rsidR="006344A5" w:rsidRPr="00B45DA4" w:rsidRDefault="006344A5" w:rsidP="00B45DA4">
            <w:pPr>
              <w:pStyle w:val="BulletPoints"/>
              <w:numPr>
                <w:ilvl w:val="0"/>
                <w:numId w:val="0"/>
              </w:numPr>
              <w:jc w:val="left"/>
              <w:rPr>
                <w:rFonts w:asciiTheme="minorHAnsi" w:hAnsiTheme="minorHAnsi" w:cstheme="minorHAnsi"/>
                <w:b/>
                <w:color w:val="864EA8" w:themeColor="accent1" w:themeShade="BF"/>
              </w:rPr>
            </w:pPr>
            <w:r w:rsidRPr="00B45DA4">
              <w:rPr>
                <w:rFonts w:asciiTheme="minorHAnsi" w:hAnsiTheme="minorHAnsi" w:cstheme="minorHAnsi"/>
                <w:b/>
                <w:color w:val="864EA8" w:themeColor="accent1" w:themeShade="BF"/>
              </w:rPr>
              <w:t>Limitations and further research</w:t>
            </w:r>
          </w:p>
          <w:p w14:paraId="220450B9" w14:textId="77777777" w:rsidR="00B45DA4" w:rsidRDefault="00B45DA4" w:rsidP="00B45DA4">
            <w:pPr>
              <w:pStyle w:val="BulletPoints"/>
              <w:numPr>
                <w:ilvl w:val="0"/>
                <w:numId w:val="0"/>
              </w:numPr>
              <w:spacing w:after="0"/>
              <w:jc w:val="left"/>
              <w:rPr>
                <w:rFonts w:asciiTheme="minorHAnsi" w:hAnsiTheme="minorHAnsi" w:cstheme="minorHAnsi"/>
                <w:iCs/>
                <w:sz w:val="22"/>
                <w:szCs w:val="22"/>
              </w:rPr>
            </w:pPr>
            <w:r w:rsidRPr="00B45DA4">
              <w:rPr>
                <w:rFonts w:asciiTheme="minorHAnsi" w:hAnsiTheme="minorHAnsi" w:cstheme="minorHAnsi"/>
                <w:iCs/>
                <w:sz w:val="22"/>
                <w:szCs w:val="22"/>
              </w:rPr>
              <w:t xml:space="preserve">There remains significant scope for further research to inform the development of evidence-based policy or </w:t>
            </w:r>
          </w:p>
          <w:p w14:paraId="37F934D0" w14:textId="4BEEC4E5" w:rsidR="006344A5" w:rsidRPr="00B45DA4" w:rsidRDefault="00B45DA4" w:rsidP="00B45DA4">
            <w:pPr>
              <w:pStyle w:val="BulletPoints"/>
              <w:numPr>
                <w:ilvl w:val="0"/>
                <w:numId w:val="0"/>
              </w:numPr>
              <w:spacing w:after="0"/>
              <w:jc w:val="left"/>
              <w:rPr>
                <w:rFonts w:asciiTheme="minorHAnsi" w:hAnsiTheme="minorHAnsi" w:cstheme="minorHAnsi"/>
                <w:iCs/>
                <w:sz w:val="22"/>
                <w:szCs w:val="22"/>
              </w:rPr>
            </w:pPr>
            <w:r w:rsidRPr="00B45DA4">
              <w:rPr>
                <w:rFonts w:asciiTheme="minorHAnsi" w:hAnsiTheme="minorHAnsi" w:cstheme="minorHAnsi"/>
                <w:iCs/>
                <w:sz w:val="22"/>
                <w:szCs w:val="22"/>
              </w:rPr>
              <w:t>legislative reforms that the Government can adopt to guide the tourism sector toward a more sustainable model aligned with national planning objectives.</w:t>
            </w:r>
          </w:p>
        </w:tc>
      </w:tr>
    </w:tbl>
    <w:p w14:paraId="1A4622B7" w14:textId="77777777" w:rsidR="00831C12" w:rsidRDefault="00831C12" w:rsidP="00831C12">
      <w:pPr>
        <w:pStyle w:val="BulletPoints"/>
        <w:numPr>
          <w:ilvl w:val="0"/>
          <w:numId w:val="0"/>
        </w:numPr>
        <w:ind w:right="1134"/>
        <w:jc w:val="left"/>
        <w:rPr>
          <w:b/>
        </w:rPr>
        <w:sectPr w:rsidR="00831C12" w:rsidSect="007474E7">
          <w:footerReference w:type="default" r:id="rId17"/>
          <w:type w:val="continuous"/>
          <w:pgSz w:w="11907" w:h="16840" w:code="9"/>
          <w:pgMar w:top="1440" w:right="851" w:bottom="851" w:left="851" w:header="135" w:footer="0" w:gutter="0"/>
          <w:cols w:num="2" w:space="720"/>
          <w:formProt w:val="0"/>
          <w:docGrid w:linePitch="299"/>
        </w:sectPr>
      </w:pPr>
    </w:p>
    <w:p w14:paraId="05F5F5F1" w14:textId="77777777" w:rsidR="00B90C33" w:rsidRDefault="00B90C33" w:rsidP="00831C12">
      <w:pPr>
        <w:pStyle w:val="BulletPoints"/>
        <w:numPr>
          <w:ilvl w:val="0"/>
          <w:numId w:val="0"/>
        </w:numPr>
        <w:ind w:right="1134"/>
        <w:jc w:val="left"/>
        <w:rPr>
          <w:rFonts w:asciiTheme="minorHAnsi" w:hAnsiTheme="minorHAnsi" w:cstheme="minorHAnsi"/>
          <w:b/>
          <w:color w:val="864EA8" w:themeColor="accent1" w:themeShade="BF"/>
        </w:rPr>
        <w:sectPr w:rsidR="00B90C33" w:rsidSect="00AA704D">
          <w:headerReference w:type="default" r:id="rId18"/>
          <w:type w:val="continuous"/>
          <w:pgSz w:w="11907" w:h="16840" w:code="9"/>
          <w:pgMar w:top="1440" w:right="851" w:bottom="1440" w:left="851" w:header="0" w:footer="0" w:gutter="0"/>
          <w:pgNumType w:start="1"/>
          <w:cols w:space="720"/>
          <w:formProt w:val="0"/>
          <w:docGrid w:linePitch="299"/>
        </w:sectPr>
      </w:pPr>
    </w:p>
    <w:tbl>
      <w:tblPr>
        <w:tblW w:w="9468" w:type="dxa"/>
        <w:tblLayout w:type="fixed"/>
        <w:tblLook w:val="0000" w:firstRow="0" w:lastRow="0" w:firstColumn="0" w:lastColumn="0" w:noHBand="0" w:noVBand="0"/>
      </w:tblPr>
      <w:tblGrid>
        <w:gridCol w:w="9468"/>
      </w:tblGrid>
      <w:tr w:rsidR="006344A5" w14:paraId="215C8F5C" w14:textId="77777777" w:rsidTr="00F3682C">
        <w:trPr>
          <w:trHeight w:val="1137"/>
        </w:trPr>
        <w:tc>
          <w:tcPr>
            <w:tcW w:w="9468" w:type="dxa"/>
          </w:tcPr>
          <w:p w14:paraId="1E0F1FC4" w14:textId="14B90366" w:rsidR="006344A5" w:rsidRPr="00A62056" w:rsidRDefault="006344A5" w:rsidP="00831C12">
            <w:pPr>
              <w:pStyle w:val="BulletPoints"/>
              <w:numPr>
                <w:ilvl w:val="0"/>
                <w:numId w:val="0"/>
              </w:numPr>
              <w:ind w:right="1134"/>
              <w:jc w:val="left"/>
              <w:rPr>
                <w:rFonts w:asciiTheme="minorHAnsi" w:hAnsiTheme="minorHAnsi" w:cstheme="minorHAnsi"/>
                <w:b/>
                <w:color w:val="864EA8" w:themeColor="accent1" w:themeShade="BF"/>
              </w:rPr>
            </w:pPr>
            <w:r w:rsidRPr="00A62056">
              <w:rPr>
                <w:rFonts w:asciiTheme="minorHAnsi" w:hAnsiTheme="minorHAnsi" w:cstheme="minorHAnsi"/>
                <w:b/>
                <w:color w:val="864EA8" w:themeColor="accent1" w:themeShade="BF"/>
              </w:rPr>
              <w:lastRenderedPageBreak/>
              <w:t>References</w:t>
            </w:r>
          </w:p>
          <w:p w14:paraId="1B5FB7B8" w14:textId="61701B47" w:rsidR="00840873" w:rsidRDefault="00840873" w:rsidP="00B207D1">
            <w:pPr>
              <w:pBdr>
                <w:top w:val="nil"/>
                <w:left w:val="nil"/>
                <w:bottom w:val="nil"/>
                <w:right w:val="nil"/>
                <w:between w:val="nil"/>
              </w:pBdr>
              <w:shd w:val="clear" w:color="auto" w:fill="FFFFFF"/>
              <w:spacing w:before="240" w:after="240" w:line="360" w:lineRule="auto"/>
              <w:ind w:left="720" w:hanging="720"/>
              <w:rPr>
                <w:rFonts w:asciiTheme="minorHAnsi" w:hAnsiTheme="minorHAnsi" w:cstheme="minorHAnsi"/>
                <w:iCs/>
                <w:szCs w:val="22"/>
                <w:lang w:bidi="ar-DZ"/>
              </w:rPr>
            </w:pPr>
            <w:bookmarkStart w:id="0" w:name="_Hlk216436892"/>
            <w:bookmarkStart w:id="1" w:name="_Hlk214085174"/>
            <w:r w:rsidRPr="00840873">
              <w:rPr>
                <w:rFonts w:asciiTheme="minorHAnsi" w:hAnsiTheme="minorHAnsi" w:cstheme="minorHAnsi"/>
                <w:iCs/>
                <w:szCs w:val="22"/>
                <w:lang w:bidi="ar-DZ"/>
              </w:rPr>
              <w:t>Antonio, W., &amp; Griffith-Charles, C. (2019</w:t>
            </w:r>
            <w:bookmarkEnd w:id="0"/>
            <w:r w:rsidRPr="00840873">
              <w:rPr>
                <w:rFonts w:asciiTheme="minorHAnsi" w:hAnsiTheme="minorHAnsi" w:cstheme="minorHAnsi"/>
                <w:iCs/>
                <w:szCs w:val="22"/>
                <w:lang w:bidi="ar-DZ"/>
              </w:rPr>
              <w:t xml:space="preserve">). Achieving land development benefits on customary/communal land. Land Use Policy, 83, 124–133. </w:t>
            </w:r>
            <w:hyperlink r:id="rId19">
              <w:r w:rsidRPr="00840873">
                <w:rPr>
                  <w:rFonts w:asciiTheme="minorHAnsi" w:hAnsiTheme="minorHAnsi" w:cstheme="minorHAnsi"/>
                  <w:iCs/>
                  <w:szCs w:val="22"/>
                  <w:lang w:bidi="ar-DZ"/>
                </w:rPr>
                <w:t>https://</w:t>
              </w:r>
              <w:proofErr w:type="spellStart"/>
              <w:r w:rsidRPr="00840873">
                <w:rPr>
                  <w:rFonts w:asciiTheme="minorHAnsi" w:hAnsiTheme="minorHAnsi" w:cstheme="minorHAnsi"/>
                  <w:iCs/>
                  <w:szCs w:val="22"/>
                  <w:lang w:bidi="ar-DZ"/>
                </w:rPr>
                <w:t>doi.org</w:t>
              </w:r>
              <w:proofErr w:type="spellEnd"/>
              <w:r w:rsidRPr="00840873">
                <w:rPr>
                  <w:rFonts w:asciiTheme="minorHAnsi" w:hAnsiTheme="minorHAnsi" w:cstheme="minorHAnsi"/>
                  <w:iCs/>
                  <w:szCs w:val="22"/>
                  <w:lang w:bidi="ar-DZ"/>
                </w:rPr>
                <w:t>/10.1016/</w:t>
              </w:r>
              <w:proofErr w:type="spellStart"/>
              <w:r w:rsidRPr="00840873">
                <w:rPr>
                  <w:rFonts w:asciiTheme="minorHAnsi" w:hAnsiTheme="minorHAnsi" w:cstheme="minorHAnsi"/>
                  <w:iCs/>
                  <w:szCs w:val="22"/>
                  <w:lang w:bidi="ar-DZ"/>
                </w:rPr>
                <w:t>j.landusepol.2019.02.005</w:t>
              </w:r>
              <w:proofErr w:type="spellEnd"/>
            </w:hyperlink>
            <w:bookmarkEnd w:id="1"/>
          </w:p>
          <w:p w14:paraId="3D4AC09A" w14:textId="1945872E" w:rsidR="00840873" w:rsidRPr="00840873" w:rsidRDefault="00840873" w:rsidP="00840873">
            <w:pPr>
              <w:spacing w:line="360" w:lineRule="auto"/>
              <w:ind w:left="720" w:hanging="720"/>
              <w:rPr>
                <w:rFonts w:asciiTheme="minorHAnsi" w:hAnsiTheme="minorHAnsi" w:cstheme="minorHAnsi"/>
                <w:iCs/>
                <w:szCs w:val="22"/>
                <w:lang w:bidi="ar-DZ"/>
              </w:rPr>
            </w:pPr>
            <w:r w:rsidRPr="00840873">
              <w:rPr>
                <w:rFonts w:asciiTheme="minorHAnsi" w:hAnsiTheme="minorHAnsi" w:cstheme="minorHAnsi"/>
                <w:iCs/>
                <w:szCs w:val="22"/>
                <w:lang w:bidi="ar-DZ"/>
              </w:rPr>
              <w:t xml:space="preserve">Becken, S., Tiraa, S., &amp; Vada, S. (2025). Negotiating Wellbeing and Tourism: A Reorientation Process in the Cook Islands. Sustainability, 17(3), 1123. </w:t>
            </w:r>
            <w:hyperlink r:id="rId20" w:history="1">
              <w:r w:rsidRPr="00840873">
                <w:rPr>
                  <w:rFonts w:asciiTheme="minorHAnsi" w:hAnsiTheme="minorHAnsi" w:cstheme="minorHAnsi"/>
                  <w:iCs/>
                  <w:szCs w:val="22"/>
                  <w:lang w:bidi="ar-DZ"/>
                </w:rPr>
                <w:t>https://</w:t>
              </w:r>
              <w:proofErr w:type="spellStart"/>
              <w:r w:rsidRPr="00840873">
                <w:rPr>
                  <w:rFonts w:asciiTheme="minorHAnsi" w:hAnsiTheme="minorHAnsi" w:cstheme="minorHAnsi"/>
                  <w:iCs/>
                  <w:szCs w:val="22"/>
                  <w:lang w:bidi="ar-DZ"/>
                </w:rPr>
                <w:t>doi.org</w:t>
              </w:r>
              <w:proofErr w:type="spellEnd"/>
              <w:r w:rsidRPr="00840873">
                <w:rPr>
                  <w:rFonts w:asciiTheme="minorHAnsi" w:hAnsiTheme="minorHAnsi" w:cstheme="minorHAnsi"/>
                  <w:iCs/>
                  <w:szCs w:val="22"/>
                  <w:lang w:bidi="ar-DZ"/>
                </w:rPr>
                <w:t>/10.3390/</w:t>
              </w:r>
              <w:proofErr w:type="spellStart"/>
              <w:r w:rsidRPr="00840873">
                <w:rPr>
                  <w:rFonts w:asciiTheme="minorHAnsi" w:hAnsiTheme="minorHAnsi" w:cstheme="minorHAnsi"/>
                  <w:iCs/>
                  <w:szCs w:val="22"/>
                  <w:lang w:bidi="ar-DZ"/>
                </w:rPr>
                <w:t>su17031123</w:t>
              </w:r>
              <w:proofErr w:type="spellEnd"/>
            </w:hyperlink>
          </w:p>
          <w:p w14:paraId="664E05CE" w14:textId="77777777" w:rsidR="00840873" w:rsidRPr="00840873" w:rsidRDefault="00840873" w:rsidP="00840873">
            <w:pPr>
              <w:spacing w:line="360" w:lineRule="auto"/>
              <w:ind w:left="720" w:hanging="720"/>
              <w:rPr>
                <w:rFonts w:asciiTheme="minorHAnsi" w:hAnsiTheme="minorHAnsi" w:cstheme="minorHAnsi"/>
                <w:iCs/>
                <w:szCs w:val="22"/>
                <w:lang w:bidi="ar-DZ"/>
              </w:rPr>
            </w:pPr>
            <w:r w:rsidRPr="00840873">
              <w:rPr>
                <w:rFonts w:asciiTheme="minorHAnsi" w:hAnsiTheme="minorHAnsi" w:cstheme="minorHAnsi"/>
                <w:iCs/>
                <w:szCs w:val="22"/>
                <w:lang w:bidi="ar-DZ"/>
              </w:rPr>
              <w:t>Bryant</w:t>
            </w:r>
            <w:r w:rsidRPr="00840873">
              <w:rPr>
                <w:rFonts w:asciiTheme="minorHAnsi" w:hAnsiTheme="minorHAnsi" w:cstheme="minorHAnsi"/>
                <w:iCs/>
                <w:szCs w:val="22"/>
                <w:lang w:bidi="ar-DZ"/>
              </w:rPr>
              <w:noBreakHyphen/>
            </w:r>
            <w:proofErr w:type="spellStart"/>
            <w:r w:rsidRPr="00840873">
              <w:rPr>
                <w:rFonts w:asciiTheme="minorHAnsi" w:hAnsiTheme="minorHAnsi" w:cstheme="minorHAnsi"/>
                <w:iCs/>
                <w:szCs w:val="22"/>
                <w:lang w:bidi="ar-DZ"/>
              </w:rPr>
              <w:t>Tokalau</w:t>
            </w:r>
            <w:proofErr w:type="spellEnd"/>
            <w:r w:rsidRPr="00840873">
              <w:rPr>
                <w:rFonts w:asciiTheme="minorHAnsi" w:hAnsiTheme="minorHAnsi" w:cstheme="minorHAnsi"/>
                <w:iCs/>
                <w:szCs w:val="22"/>
                <w:lang w:bidi="ar-DZ"/>
              </w:rPr>
              <w:t xml:space="preserve">, J. (2017). </w:t>
            </w:r>
            <w:proofErr w:type="spellStart"/>
            <w:r w:rsidRPr="00840873">
              <w:rPr>
                <w:rFonts w:asciiTheme="minorHAnsi" w:hAnsiTheme="minorHAnsi" w:cstheme="minorHAnsi"/>
                <w:iCs/>
                <w:szCs w:val="22"/>
                <w:lang w:bidi="ar-DZ"/>
              </w:rPr>
              <w:t>Bisnis</w:t>
            </w:r>
            <w:proofErr w:type="spellEnd"/>
            <w:r w:rsidRPr="00840873">
              <w:rPr>
                <w:rFonts w:asciiTheme="minorHAnsi" w:hAnsiTheme="minorHAnsi" w:cstheme="minorHAnsi"/>
                <w:iCs/>
                <w:szCs w:val="22"/>
                <w:lang w:bidi="ar-DZ"/>
              </w:rPr>
              <w:t xml:space="preserve"> in context: Unlocking the potential for sustainable commercial use of land in Solomon Islands. Dunedin, New Zealand: New Zealand Institute for Pacific Research (</w:t>
            </w:r>
            <w:proofErr w:type="spellStart"/>
            <w:r w:rsidRPr="00840873">
              <w:rPr>
                <w:rFonts w:asciiTheme="minorHAnsi" w:hAnsiTheme="minorHAnsi" w:cstheme="minorHAnsi"/>
                <w:iCs/>
                <w:szCs w:val="22"/>
                <w:lang w:bidi="ar-DZ"/>
              </w:rPr>
              <w:t>NZIPR</w:t>
            </w:r>
            <w:proofErr w:type="spellEnd"/>
            <w:r w:rsidRPr="00840873">
              <w:rPr>
                <w:rFonts w:asciiTheme="minorHAnsi" w:hAnsiTheme="minorHAnsi" w:cstheme="minorHAnsi"/>
                <w:iCs/>
                <w:szCs w:val="22"/>
                <w:lang w:bidi="ar-DZ"/>
              </w:rPr>
              <w:t>), University of Otago. ISBN 978</w:t>
            </w:r>
            <w:r w:rsidRPr="00840873">
              <w:rPr>
                <w:rFonts w:asciiTheme="minorHAnsi" w:hAnsiTheme="minorHAnsi" w:cstheme="minorHAnsi"/>
                <w:iCs/>
                <w:szCs w:val="22"/>
                <w:lang w:bidi="ar-DZ"/>
              </w:rPr>
              <w:noBreakHyphen/>
              <w:t>0</w:t>
            </w:r>
            <w:r w:rsidRPr="00840873">
              <w:rPr>
                <w:rFonts w:asciiTheme="minorHAnsi" w:hAnsiTheme="minorHAnsi" w:cstheme="minorHAnsi"/>
                <w:iCs/>
                <w:szCs w:val="22"/>
                <w:lang w:bidi="ar-DZ"/>
              </w:rPr>
              <w:noBreakHyphen/>
              <w:t>473</w:t>
            </w:r>
            <w:r w:rsidRPr="00840873">
              <w:rPr>
                <w:rFonts w:asciiTheme="minorHAnsi" w:hAnsiTheme="minorHAnsi" w:cstheme="minorHAnsi"/>
                <w:iCs/>
                <w:szCs w:val="22"/>
                <w:lang w:bidi="ar-DZ"/>
              </w:rPr>
              <w:noBreakHyphen/>
              <w:t>46422</w:t>
            </w:r>
            <w:r w:rsidRPr="00840873">
              <w:rPr>
                <w:rFonts w:asciiTheme="minorHAnsi" w:hAnsiTheme="minorHAnsi" w:cstheme="minorHAnsi"/>
                <w:iCs/>
                <w:szCs w:val="22"/>
                <w:lang w:bidi="ar-DZ"/>
              </w:rPr>
              <w:noBreakHyphen/>
              <w:t>6.</w:t>
            </w:r>
          </w:p>
          <w:p w14:paraId="6679B628" w14:textId="77777777" w:rsidR="00840873" w:rsidRPr="00840873" w:rsidRDefault="00840873" w:rsidP="00840873">
            <w:pPr>
              <w:spacing w:line="360" w:lineRule="auto"/>
              <w:ind w:left="720" w:hanging="720"/>
              <w:rPr>
                <w:rFonts w:asciiTheme="minorHAnsi" w:hAnsiTheme="minorHAnsi" w:cstheme="minorHAnsi"/>
                <w:iCs/>
                <w:szCs w:val="22"/>
                <w:lang w:bidi="ar-DZ"/>
              </w:rPr>
            </w:pPr>
          </w:p>
          <w:p w14:paraId="5D9DA1E8" w14:textId="58F2EC20" w:rsidR="00840873" w:rsidRDefault="00840873" w:rsidP="00840873">
            <w:pPr>
              <w:spacing w:after="280" w:line="360" w:lineRule="auto"/>
              <w:ind w:left="720" w:hanging="720"/>
              <w:jc w:val="both"/>
              <w:rPr>
                <w:rFonts w:asciiTheme="minorHAnsi" w:hAnsiTheme="minorHAnsi" w:cstheme="minorHAnsi"/>
                <w:iCs/>
                <w:szCs w:val="22"/>
                <w:lang w:bidi="ar-DZ"/>
              </w:rPr>
            </w:pPr>
            <w:r w:rsidRPr="00840873">
              <w:rPr>
                <w:rFonts w:asciiTheme="minorHAnsi" w:hAnsiTheme="minorHAnsi" w:cstheme="minorHAnsi"/>
                <w:iCs/>
                <w:szCs w:val="22"/>
                <w:lang w:bidi="ar-DZ"/>
              </w:rPr>
              <w:t xml:space="preserve">Cook Islands Statistics Office (2025). Tourism and migration statistics. Government of the Cook Islands. </w:t>
            </w:r>
            <w:hyperlink r:id="rId21" w:history="1">
              <w:r w:rsidRPr="0031270F">
                <w:rPr>
                  <w:rStyle w:val="Hyperlink"/>
                  <w:rFonts w:asciiTheme="minorHAnsi" w:hAnsiTheme="minorHAnsi" w:cstheme="minorHAnsi"/>
                  <w:iCs/>
                  <w:szCs w:val="22"/>
                  <w:lang w:bidi="ar-DZ"/>
                </w:rPr>
                <w:t>https://</w:t>
              </w:r>
              <w:proofErr w:type="spellStart"/>
              <w:r w:rsidRPr="0031270F">
                <w:rPr>
                  <w:rStyle w:val="Hyperlink"/>
                  <w:rFonts w:asciiTheme="minorHAnsi" w:hAnsiTheme="minorHAnsi" w:cstheme="minorHAnsi"/>
                  <w:iCs/>
                  <w:szCs w:val="22"/>
                  <w:lang w:bidi="ar-DZ"/>
                </w:rPr>
                <w:t>stats.gov.ck</w:t>
              </w:r>
              <w:proofErr w:type="spellEnd"/>
              <w:r w:rsidRPr="0031270F">
                <w:rPr>
                  <w:rStyle w:val="Hyperlink"/>
                  <w:rFonts w:asciiTheme="minorHAnsi" w:hAnsiTheme="minorHAnsi" w:cstheme="minorHAnsi"/>
                  <w:iCs/>
                  <w:szCs w:val="22"/>
                  <w:lang w:bidi="ar-DZ"/>
                </w:rPr>
                <w:t>/tourism-and-migration/</w:t>
              </w:r>
            </w:hyperlink>
          </w:p>
          <w:p w14:paraId="0A19FE74" w14:textId="3A772457" w:rsidR="00840873" w:rsidRPr="00840873" w:rsidRDefault="00840873" w:rsidP="00B207D1">
            <w:pPr>
              <w:shd w:val="clear" w:color="auto" w:fill="FFFFFF"/>
              <w:spacing w:after="280" w:line="360" w:lineRule="auto"/>
              <w:ind w:left="720" w:hanging="720"/>
              <w:jc w:val="both"/>
              <w:rPr>
                <w:rFonts w:asciiTheme="minorHAnsi" w:hAnsiTheme="minorHAnsi" w:cstheme="minorHAnsi"/>
                <w:iCs/>
                <w:szCs w:val="22"/>
                <w:lang w:bidi="ar-DZ"/>
              </w:rPr>
            </w:pPr>
            <w:bookmarkStart w:id="2" w:name="_Hlk213878450"/>
            <w:r w:rsidRPr="00840873">
              <w:rPr>
                <w:rFonts w:asciiTheme="minorHAnsi" w:hAnsiTheme="minorHAnsi" w:cstheme="minorHAnsi"/>
                <w:iCs/>
                <w:szCs w:val="22"/>
                <w:lang w:bidi="ar-DZ"/>
              </w:rPr>
              <w:t xml:space="preserve">Crocombe, R. G., &amp; Holmes, R. (2014). Southern Cook Islands Customary Law, History and Society: Pre-European Southern Cook Islands Māori society. Ross Holmes. </w:t>
            </w:r>
            <w:bookmarkEnd w:id="2"/>
          </w:p>
          <w:p w14:paraId="139A3304" w14:textId="77777777" w:rsidR="00840873" w:rsidRPr="00840873" w:rsidRDefault="00840873" w:rsidP="00840873">
            <w:pPr>
              <w:spacing w:line="360" w:lineRule="auto"/>
              <w:ind w:left="720" w:hanging="720"/>
              <w:jc w:val="both"/>
              <w:rPr>
                <w:rFonts w:asciiTheme="minorHAnsi" w:hAnsiTheme="minorHAnsi" w:cstheme="minorHAnsi"/>
                <w:iCs/>
                <w:szCs w:val="22"/>
                <w:lang w:bidi="ar-DZ"/>
              </w:rPr>
            </w:pPr>
            <w:r w:rsidRPr="00840873">
              <w:rPr>
                <w:rFonts w:asciiTheme="minorHAnsi" w:hAnsiTheme="minorHAnsi" w:cstheme="minorHAnsi"/>
                <w:iCs/>
                <w:szCs w:val="22"/>
                <w:lang w:bidi="ar-DZ"/>
              </w:rPr>
              <w:t xml:space="preserve">Horan, J. (2012). </w:t>
            </w:r>
            <w:proofErr w:type="spellStart"/>
            <w:r w:rsidRPr="00840873">
              <w:rPr>
                <w:rFonts w:asciiTheme="minorHAnsi" w:hAnsiTheme="minorHAnsi" w:cstheme="minorHAnsi"/>
                <w:iCs/>
                <w:szCs w:val="22"/>
                <w:lang w:bidi="ar-DZ"/>
              </w:rPr>
              <w:t>Tivaivai</w:t>
            </w:r>
            <w:proofErr w:type="spellEnd"/>
            <w:r w:rsidRPr="00840873">
              <w:rPr>
                <w:rFonts w:asciiTheme="minorHAnsi" w:hAnsiTheme="minorHAnsi" w:cstheme="minorHAnsi"/>
                <w:iCs/>
                <w:szCs w:val="22"/>
                <w:lang w:bidi="ar-DZ"/>
              </w:rPr>
              <w:t xml:space="preserve"> in the Cook Islands ceremonial economy. An analysis of value. Open Access Research Space at </w:t>
            </w:r>
            <w:proofErr w:type="spellStart"/>
            <w:r w:rsidRPr="00840873">
              <w:rPr>
                <w:rFonts w:asciiTheme="minorHAnsi" w:hAnsiTheme="minorHAnsi" w:cstheme="minorHAnsi"/>
                <w:iCs/>
                <w:szCs w:val="22"/>
                <w:lang w:bidi="ar-DZ"/>
              </w:rPr>
              <w:t>Te</w:t>
            </w:r>
            <w:proofErr w:type="spellEnd"/>
            <w:r w:rsidRPr="00840873">
              <w:rPr>
                <w:rFonts w:asciiTheme="minorHAnsi" w:hAnsiTheme="minorHAnsi" w:cstheme="minorHAnsi"/>
                <w:iCs/>
                <w:szCs w:val="22"/>
                <w:lang w:bidi="ar-DZ"/>
              </w:rPr>
              <w:t xml:space="preserve"> Tumu Herenga, The University of Auckland. https://researchspace.auckland.ac.nz/server/api/core/bitstreams/61410fe6-091c-468f-b90c-11a5330eefa0/content</w:t>
            </w:r>
          </w:p>
          <w:p w14:paraId="7A09B88F" w14:textId="77777777" w:rsidR="00840873" w:rsidRPr="00840873" w:rsidRDefault="00840873" w:rsidP="00840873">
            <w:pPr>
              <w:spacing w:line="360" w:lineRule="auto"/>
              <w:ind w:left="720" w:hanging="720"/>
              <w:rPr>
                <w:rFonts w:asciiTheme="minorHAnsi" w:hAnsiTheme="minorHAnsi" w:cstheme="minorHAnsi"/>
                <w:iCs/>
                <w:szCs w:val="22"/>
                <w:lang w:bidi="ar-DZ"/>
              </w:rPr>
            </w:pPr>
            <w:r w:rsidRPr="00840873">
              <w:rPr>
                <w:rFonts w:asciiTheme="minorHAnsi" w:hAnsiTheme="minorHAnsi" w:cstheme="minorHAnsi"/>
                <w:iCs/>
                <w:szCs w:val="22"/>
                <w:lang w:bidi="ar-DZ"/>
              </w:rPr>
              <w:t>Li, T. M. (2014). What is land? Assembling a resource for global investment. Transactions of the Institute of British Geographers, 39(4), 589–602.</w:t>
            </w:r>
          </w:p>
          <w:p w14:paraId="4A25D174" w14:textId="77777777" w:rsidR="00840873" w:rsidRPr="00840873" w:rsidRDefault="00840873" w:rsidP="00840873">
            <w:pPr>
              <w:pBdr>
                <w:top w:val="nil"/>
                <w:left w:val="nil"/>
                <w:bottom w:val="nil"/>
                <w:right w:val="nil"/>
                <w:between w:val="nil"/>
              </w:pBdr>
              <w:shd w:val="clear" w:color="auto" w:fill="FFFFFF"/>
              <w:spacing w:before="240" w:after="240" w:line="360" w:lineRule="auto"/>
              <w:ind w:left="720" w:hanging="720"/>
              <w:rPr>
                <w:rFonts w:asciiTheme="minorHAnsi" w:hAnsiTheme="minorHAnsi" w:cstheme="minorHAnsi"/>
                <w:iCs/>
                <w:szCs w:val="22"/>
                <w:lang w:bidi="ar-DZ"/>
              </w:rPr>
            </w:pPr>
            <w:hyperlink r:id="rId22" w:history="1">
              <w:r w:rsidRPr="00840873">
                <w:rPr>
                  <w:rFonts w:asciiTheme="minorHAnsi" w:hAnsiTheme="minorHAnsi" w:cstheme="minorHAnsi"/>
                  <w:iCs/>
                  <w:szCs w:val="22"/>
                  <w:lang w:bidi="ar-DZ"/>
                </w:rPr>
                <w:t>Marshall.</w:t>
              </w:r>
            </w:hyperlink>
            <w:r w:rsidRPr="00840873">
              <w:rPr>
                <w:rFonts w:asciiTheme="minorHAnsi" w:hAnsiTheme="minorHAnsi" w:cstheme="minorHAnsi"/>
                <w:iCs/>
                <w:szCs w:val="22"/>
                <w:lang w:bidi="ar-DZ"/>
              </w:rPr>
              <w:t> </w:t>
            </w:r>
            <w:hyperlink r:id="rId23" w:history="1">
              <w:r w:rsidRPr="00840873">
                <w:rPr>
                  <w:rFonts w:asciiTheme="minorHAnsi" w:hAnsiTheme="minorHAnsi" w:cstheme="minorHAnsi"/>
                  <w:iCs/>
                  <w:szCs w:val="22"/>
                  <w:lang w:bidi="ar-DZ"/>
                </w:rPr>
                <w:t>(2018).</w:t>
              </w:r>
            </w:hyperlink>
            <w:r w:rsidRPr="00840873">
              <w:rPr>
                <w:rFonts w:asciiTheme="minorHAnsi" w:hAnsiTheme="minorHAnsi" w:cstheme="minorHAnsi"/>
                <w:iCs/>
                <w:szCs w:val="22"/>
                <w:lang w:bidi="ar-DZ"/>
              </w:rPr>
              <w:t> </w:t>
            </w:r>
            <w:hyperlink r:id="rId24" w:history="1">
              <w:r w:rsidRPr="00840873">
                <w:rPr>
                  <w:rFonts w:asciiTheme="minorHAnsi" w:hAnsiTheme="minorHAnsi" w:cstheme="minorHAnsi"/>
                  <w:iCs/>
                  <w:szCs w:val="22"/>
                  <w:lang w:bidi="ar-DZ"/>
                </w:rPr>
                <w:t>Cook</w:t>
              </w:r>
            </w:hyperlink>
            <w:r w:rsidRPr="00840873">
              <w:rPr>
                <w:rFonts w:asciiTheme="minorHAnsi" w:hAnsiTheme="minorHAnsi" w:cstheme="minorHAnsi"/>
                <w:iCs/>
                <w:szCs w:val="22"/>
                <w:lang w:bidi="ar-DZ"/>
              </w:rPr>
              <w:t xml:space="preserve"> Islands Housing, Land and Property Profile. </w:t>
            </w:r>
            <w:hyperlink r:id="rId25" w:history="1">
              <w:r w:rsidRPr="00840873">
                <w:rPr>
                  <w:rFonts w:asciiTheme="minorHAnsi" w:hAnsiTheme="minorHAnsi" w:cstheme="minorHAnsi"/>
                  <w:iCs/>
                  <w:szCs w:val="22"/>
                  <w:lang w:bidi="ar-DZ"/>
                </w:rPr>
                <w:t>Allens</w:t>
              </w:r>
            </w:hyperlink>
            <w:r w:rsidRPr="00840873">
              <w:rPr>
                <w:rFonts w:asciiTheme="minorHAnsi" w:hAnsiTheme="minorHAnsi" w:cstheme="minorHAnsi"/>
                <w:iCs/>
                <w:szCs w:val="22"/>
                <w:lang w:bidi="ar-DZ"/>
              </w:rPr>
              <w:t xml:space="preserve"> Lawyers, Australian Red Cross, International Federation of the Red Cross</w:t>
            </w:r>
          </w:p>
          <w:p w14:paraId="78D71F90" w14:textId="77777777" w:rsidR="00840873" w:rsidRPr="00840873" w:rsidRDefault="00840873" w:rsidP="00840873">
            <w:pPr>
              <w:shd w:val="clear" w:color="auto" w:fill="FFFFFF"/>
              <w:spacing w:before="240" w:after="240" w:line="360" w:lineRule="auto"/>
              <w:ind w:left="720" w:hanging="720"/>
              <w:jc w:val="both"/>
              <w:rPr>
                <w:rFonts w:asciiTheme="minorHAnsi" w:hAnsiTheme="minorHAnsi" w:cstheme="minorHAnsi"/>
                <w:iCs/>
                <w:szCs w:val="22"/>
                <w:lang w:bidi="ar-DZ"/>
              </w:rPr>
            </w:pPr>
            <w:bookmarkStart w:id="3" w:name="_Hlk216436322"/>
            <w:r w:rsidRPr="00840873">
              <w:rPr>
                <w:rFonts w:asciiTheme="minorHAnsi" w:hAnsiTheme="minorHAnsi" w:cstheme="minorHAnsi"/>
                <w:iCs/>
                <w:szCs w:val="22"/>
                <w:lang w:bidi="ar-DZ"/>
              </w:rPr>
              <w:t xml:space="preserve">Maxwell, D., &amp; Wiebe, K. (1999). </w:t>
            </w:r>
            <w:bookmarkEnd w:id="3"/>
            <w:r w:rsidRPr="00840873">
              <w:rPr>
                <w:rFonts w:asciiTheme="minorHAnsi" w:hAnsiTheme="minorHAnsi" w:cstheme="minorHAnsi"/>
                <w:iCs/>
                <w:szCs w:val="22"/>
                <w:lang w:bidi="ar-DZ"/>
              </w:rPr>
              <w:t xml:space="preserve">Land Tenure and Food Security: Exploring Dynamic Linkages. Development &amp; Change, 30(4), 826–849. </w:t>
            </w:r>
            <w:hyperlink r:id="rId26" w:history="1">
              <w:r w:rsidRPr="00840873">
                <w:rPr>
                  <w:rFonts w:asciiTheme="minorHAnsi" w:hAnsiTheme="minorHAnsi" w:cstheme="minorHAnsi"/>
                  <w:iCs/>
                  <w:szCs w:val="22"/>
                  <w:lang w:bidi="ar-DZ"/>
                </w:rPr>
                <w:t>https://</w:t>
              </w:r>
              <w:proofErr w:type="spellStart"/>
              <w:r w:rsidRPr="00840873">
                <w:rPr>
                  <w:rFonts w:asciiTheme="minorHAnsi" w:hAnsiTheme="minorHAnsi" w:cstheme="minorHAnsi"/>
                  <w:iCs/>
                  <w:szCs w:val="22"/>
                  <w:lang w:bidi="ar-DZ"/>
                </w:rPr>
                <w:t>doi.org</w:t>
              </w:r>
              <w:proofErr w:type="spellEnd"/>
              <w:r w:rsidRPr="00840873">
                <w:rPr>
                  <w:rFonts w:asciiTheme="minorHAnsi" w:hAnsiTheme="minorHAnsi" w:cstheme="minorHAnsi"/>
                  <w:iCs/>
                  <w:szCs w:val="22"/>
                  <w:lang w:bidi="ar-DZ"/>
                </w:rPr>
                <w:t>/10.1111/1467-7660.00139</w:t>
              </w:r>
            </w:hyperlink>
          </w:p>
          <w:p w14:paraId="5ACF7A0A" w14:textId="344A0968" w:rsidR="00840873" w:rsidRPr="00840873" w:rsidRDefault="00840873" w:rsidP="00840873">
            <w:pPr>
              <w:spacing w:line="360" w:lineRule="auto"/>
              <w:ind w:left="720" w:hanging="720"/>
              <w:rPr>
                <w:rFonts w:asciiTheme="minorHAnsi" w:hAnsiTheme="minorHAnsi" w:cstheme="minorHAnsi"/>
                <w:iCs/>
                <w:szCs w:val="22"/>
                <w:lang w:bidi="ar-DZ"/>
              </w:rPr>
            </w:pPr>
            <w:proofErr w:type="spellStart"/>
            <w:r w:rsidRPr="00840873">
              <w:rPr>
                <w:rFonts w:asciiTheme="minorHAnsi" w:hAnsiTheme="minorHAnsi" w:cstheme="minorHAnsi"/>
                <w:iCs/>
                <w:szCs w:val="22"/>
                <w:lang w:bidi="ar-DZ"/>
              </w:rPr>
              <w:t>Movono</w:t>
            </w:r>
            <w:proofErr w:type="spellEnd"/>
            <w:r w:rsidRPr="00840873">
              <w:rPr>
                <w:rFonts w:asciiTheme="minorHAnsi" w:hAnsiTheme="minorHAnsi" w:cstheme="minorHAnsi"/>
                <w:iCs/>
                <w:szCs w:val="22"/>
                <w:lang w:bidi="ar-DZ"/>
              </w:rPr>
              <w:t xml:space="preserve">, A., </w:t>
            </w:r>
            <w:proofErr w:type="spellStart"/>
            <w:r w:rsidRPr="00840873">
              <w:rPr>
                <w:rFonts w:asciiTheme="minorHAnsi" w:hAnsiTheme="minorHAnsi" w:cstheme="minorHAnsi"/>
                <w:iCs/>
                <w:szCs w:val="22"/>
                <w:lang w:bidi="ar-DZ"/>
              </w:rPr>
              <w:t>Dahles</w:t>
            </w:r>
            <w:proofErr w:type="spellEnd"/>
            <w:r w:rsidRPr="00840873">
              <w:rPr>
                <w:rFonts w:asciiTheme="minorHAnsi" w:hAnsiTheme="minorHAnsi" w:cstheme="minorHAnsi"/>
                <w:iCs/>
                <w:szCs w:val="22"/>
                <w:lang w:bidi="ar-DZ"/>
              </w:rPr>
              <w:t>, H., &amp; Becken, S. (2018). Fijian culture and the environment: a focus on the ecological and social interconnectedness of tourism development. Journal of Sustainable Tourism, 26(3), 451–469. https://</w:t>
            </w:r>
            <w:proofErr w:type="spellStart"/>
            <w:r w:rsidRPr="00840873">
              <w:rPr>
                <w:rFonts w:asciiTheme="minorHAnsi" w:hAnsiTheme="minorHAnsi" w:cstheme="minorHAnsi"/>
                <w:iCs/>
                <w:szCs w:val="22"/>
                <w:lang w:bidi="ar-DZ"/>
              </w:rPr>
              <w:t>doi.org</w:t>
            </w:r>
            <w:proofErr w:type="spellEnd"/>
            <w:r w:rsidRPr="00840873">
              <w:rPr>
                <w:rFonts w:asciiTheme="minorHAnsi" w:hAnsiTheme="minorHAnsi" w:cstheme="minorHAnsi"/>
                <w:iCs/>
                <w:szCs w:val="22"/>
                <w:lang w:bidi="ar-DZ"/>
              </w:rPr>
              <w:t>/10.1080/09669582.2017.1359280</w:t>
            </w:r>
          </w:p>
          <w:p w14:paraId="21FDBD14" w14:textId="2004E472" w:rsidR="00840873" w:rsidRPr="00840873" w:rsidRDefault="00840873" w:rsidP="00840873">
            <w:pPr>
              <w:spacing w:after="280" w:line="360" w:lineRule="auto"/>
              <w:ind w:left="720" w:hanging="720"/>
              <w:rPr>
                <w:rFonts w:asciiTheme="minorHAnsi" w:hAnsiTheme="minorHAnsi" w:cstheme="minorHAnsi"/>
                <w:iCs/>
                <w:szCs w:val="22"/>
                <w:lang w:bidi="ar-DZ"/>
              </w:rPr>
            </w:pPr>
            <w:r w:rsidRPr="00840873">
              <w:rPr>
                <w:rFonts w:asciiTheme="minorHAnsi" w:hAnsiTheme="minorHAnsi" w:cstheme="minorHAnsi"/>
                <w:iCs/>
                <w:szCs w:val="22"/>
                <w:lang w:bidi="ar-DZ"/>
              </w:rPr>
              <w:t>Pacific Private Sector Development Initiative (</w:t>
            </w:r>
            <w:proofErr w:type="spellStart"/>
            <w:r w:rsidRPr="00840873">
              <w:rPr>
                <w:rFonts w:asciiTheme="minorHAnsi" w:hAnsiTheme="minorHAnsi" w:cstheme="minorHAnsi"/>
                <w:iCs/>
                <w:szCs w:val="22"/>
                <w:lang w:bidi="ar-DZ"/>
              </w:rPr>
              <w:t>PSDI</w:t>
            </w:r>
            <w:proofErr w:type="spellEnd"/>
            <w:r w:rsidRPr="00840873">
              <w:rPr>
                <w:rFonts w:asciiTheme="minorHAnsi" w:hAnsiTheme="minorHAnsi" w:cstheme="minorHAnsi"/>
                <w:iCs/>
                <w:szCs w:val="22"/>
                <w:lang w:bidi="ar-DZ"/>
              </w:rPr>
              <w:t xml:space="preserve">). (2021). Cook Islands: Pacific Tourism Sector Snapshot. Asian Development Bank. The Government of Australia. The Government of New Zealand. </w:t>
            </w:r>
            <w:hyperlink r:id="rId27" w:history="1">
              <w:r w:rsidRPr="00840873">
                <w:rPr>
                  <w:rFonts w:asciiTheme="minorHAnsi" w:hAnsiTheme="minorHAnsi" w:cstheme="minorHAnsi"/>
                  <w:iCs/>
                  <w:szCs w:val="22"/>
                  <w:lang w:bidi="ar-DZ"/>
                </w:rPr>
                <w:t>https://www.pacificpsdi.org/assets/Uploads/PSDI-TourismSnapshot-COO.pdf</w:t>
              </w:r>
            </w:hyperlink>
          </w:p>
          <w:p w14:paraId="3A19A68A" w14:textId="77777777" w:rsidR="00B207D1" w:rsidRDefault="00B207D1" w:rsidP="00840873">
            <w:pPr>
              <w:spacing w:after="280" w:line="360" w:lineRule="auto"/>
              <w:ind w:left="720" w:hanging="720"/>
              <w:rPr>
                <w:rFonts w:asciiTheme="minorHAnsi" w:hAnsiTheme="minorHAnsi" w:cstheme="minorHAnsi"/>
                <w:iCs/>
                <w:szCs w:val="22"/>
                <w:lang w:bidi="ar-DZ"/>
              </w:rPr>
            </w:pPr>
          </w:p>
          <w:p w14:paraId="59D34F57" w14:textId="2009D817" w:rsidR="00B207D1" w:rsidRDefault="00B207D1" w:rsidP="00B207D1">
            <w:pPr>
              <w:spacing w:line="360" w:lineRule="auto"/>
              <w:ind w:left="720" w:hanging="720"/>
              <w:rPr>
                <w:rFonts w:asciiTheme="minorHAnsi" w:hAnsiTheme="minorHAnsi" w:cstheme="minorHAnsi"/>
                <w:iCs/>
                <w:szCs w:val="22"/>
                <w:lang w:bidi="ar-DZ"/>
              </w:rPr>
            </w:pPr>
            <w:r w:rsidRPr="00B207D1">
              <w:rPr>
                <w:rFonts w:asciiTheme="minorHAnsi" w:hAnsiTheme="minorHAnsi" w:cstheme="minorHAnsi"/>
                <w:iCs/>
                <w:szCs w:val="22"/>
                <w:lang w:bidi="ar-DZ"/>
              </w:rPr>
              <w:lastRenderedPageBreak/>
              <w:t xml:space="preserve">Rice, S., &amp; Massey University, degree granting institution. (2020). Alternative economic development on customary land in </w:t>
            </w:r>
            <w:proofErr w:type="gramStart"/>
            <w:r w:rsidRPr="00B207D1">
              <w:rPr>
                <w:rFonts w:asciiTheme="minorHAnsi" w:hAnsiTheme="minorHAnsi" w:cstheme="minorHAnsi"/>
                <w:iCs/>
                <w:szCs w:val="22"/>
                <w:lang w:bidi="ar-DZ"/>
              </w:rPr>
              <w:t>Fiji :</w:t>
            </w:r>
            <w:proofErr w:type="gramEnd"/>
            <w:r w:rsidRPr="00B207D1">
              <w:rPr>
                <w:rFonts w:asciiTheme="minorHAnsi" w:hAnsiTheme="minorHAnsi" w:cstheme="minorHAnsi"/>
                <w:iCs/>
                <w:szCs w:val="22"/>
                <w:lang w:bidi="ar-DZ"/>
              </w:rPr>
              <w:t xml:space="preserve"> how indigenous entrepreneurs blend customary and modern strategies: [master’s thesis, Massey University] Massey Research Online. https://mro.massey.ac.nz/server/api/core/bitstreams/beddbc4b-e261-43a7-9a2c-6ceea69af635/content</w:t>
            </w:r>
          </w:p>
          <w:p w14:paraId="561EBC5A" w14:textId="0516E171" w:rsidR="00840873" w:rsidRPr="00840873" w:rsidRDefault="00840873" w:rsidP="00840873">
            <w:pPr>
              <w:spacing w:after="280" w:line="360" w:lineRule="auto"/>
              <w:ind w:left="720" w:hanging="720"/>
              <w:rPr>
                <w:rFonts w:asciiTheme="minorHAnsi" w:hAnsiTheme="minorHAnsi" w:cstheme="minorHAnsi"/>
                <w:iCs/>
                <w:szCs w:val="22"/>
                <w:lang w:bidi="ar-DZ"/>
              </w:rPr>
            </w:pPr>
            <w:proofErr w:type="spellStart"/>
            <w:r w:rsidRPr="00840873">
              <w:rPr>
                <w:rFonts w:asciiTheme="minorHAnsi" w:hAnsiTheme="minorHAnsi" w:cstheme="minorHAnsi"/>
                <w:iCs/>
                <w:szCs w:val="22"/>
                <w:lang w:bidi="ar-DZ"/>
              </w:rPr>
              <w:t>Scheyvens</w:t>
            </w:r>
            <w:proofErr w:type="spellEnd"/>
            <w:r w:rsidRPr="00840873">
              <w:rPr>
                <w:rFonts w:asciiTheme="minorHAnsi" w:hAnsiTheme="minorHAnsi" w:cstheme="minorHAnsi"/>
                <w:iCs/>
                <w:szCs w:val="22"/>
                <w:lang w:bidi="ar-DZ"/>
              </w:rPr>
              <w:t>, R., &amp; Russell, M. (2009). Tourism and poverty reduction in the South Pacific. New Zealand: Massey University.</w:t>
            </w:r>
          </w:p>
          <w:p w14:paraId="4AAA3B09" w14:textId="2435A764" w:rsidR="00840873" w:rsidRPr="00840873" w:rsidRDefault="00840873" w:rsidP="00840873">
            <w:pPr>
              <w:shd w:val="clear" w:color="auto" w:fill="FFFFFF"/>
              <w:spacing w:after="280" w:line="360" w:lineRule="auto"/>
              <w:ind w:left="720" w:hanging="720"/>
              <w:rPr>
                <w:rFonts w:asciiTheme="minorHAnsi" w:hAnsiTheme="minorHAnsi" w:cstheme="minorHAnsi"/>
                <w:iCs/>
                <w:szCs w:val="22"/>
                <w:lang w:bidi="ar-DZ"/>
              </w:rPr>
            </w:pPr>
            <w:proofErr w:type="spellStart"/>
            <w:r w:rsidRPr="00840873">
              <w:rPr>
                <w:rFonts w:asciiTheme="minorHAnsi" w:hAnsiTheme="minorHAnsi" w:cstheme="minorHAnsi"/>
                <w:iCs/>
                <w:szCs w:val="22"/>
                <w:lang w:bidi="ar-DZ"/>
              </w:rPr>
              <w:t>Scheyvens</w:t>
            </w:r>
            <w:proofErr w:type="spellEnd"/>
            <w:r w:rsidRPr="00840873">
              <w:rPr>
                <w:rFonts w:asciiTheme="minorHAnsi" w:hAnsiTheme="minorHAnsi" w:cstheme="minorHAnsi"/>
                <w:iCs/>
                <w:szCs w:val="22"/>
                <w:lang w:bidi="ar-DZ"/>
              </w:rPr>
              <w:t xml:space="preserve">, R., Banks, G., </w:t>
            </w:r>
            <w:proofErr w:type="spellStart"/>
            <w:r w:rsidRPr="00840873">
              <w:rPr>
                <w:rFonts w:asciiTheme="minorHAnsi" w:hAnsiTheme="minorHAnsi" w:cstheme="minorHAnsi"/>
                <w:iCs/>
                <w:szCs w:val="22"/>
                <w:lang w:bidi="ar-DZ"/>
              </w:rPr>
              <w:t>Vunibola</w:t>
            </w:r>
            <w:proofErr w:type="spellEnd"/>
            <w:r w:rsidRPr="00840873">
              <w:rPr>
                <w:rFonts w:asciiTheme="minorHAnsi" w:hAnsiTheme="minorHAnsi" w:cstheme="minorHAnsi"/>
                <w:iCs/>
                <w:szCs w:val="22"/>
                <w:lang w:bidi="ar-DZ"/>
              </w:rPr>
              <w:t>, S., Steven, H., &amp; Meo-</w:t>
            </w:r>
            <w:proofErr w:type="spellStart"/>
            <w:r w:rsidRPr="00840873">
              <w:rPr>
                <w:rFonts w:asciiTheme="minorHAnsi" w:hAnsiTheme="minorHAnsi" w:cstheme="minorHAnsi"/>
                <w:iCs/>
                <w:szCs w:val="22"/>
                <w:lang w:bidi="ar-DZ"/>
              </w:rPr>
              <w:t>Sewabu</w:t>
            </w:r>
            <w:proofErr w:type="spellEnd"/>
            <w:r w:rsidRPr="00840873">
              <w:rPr>
                <w:rFonts w:asciiTheme="minorHAnsi" w:hAnsiTheme="minorHAnsi" w:cstheme="minorHAnsi"/>
                <w:iCs/>
                <w:szCs w:val="22"/>
                <w:lang w:bidi="ar-DZ"/>
              </w:rPr>
              <w:t xml:space="preserve">, L. (2020). Business serves society: Successful </w:t>
            </w:r>
            <w:proofErr w:type="gramStart"/>
            <w:r w:rsidRPr="00840873">
              <w:rPr>
                <w:rFonts w:asciiTheme="minorHAnsi" w:hAnsiTheme="minorHAnsi" w:cstheme="minorHAnsi"/>
                <w:iCs/>
                <w:szCs w:val="22"/>
                <w:lang w:bidi="ar-DZ"/>
              </w:rPr>
              <w:t>locally-driven</w:t>
            </w:r>
            <w:proofErr w:type="gramEnd"/>
            <w:r w:rsidRPr="00840873">
              <w:rPr>
                <w:rFonts w:asciiTheme="minorHAnsi" w:hAnsiTheme="minorHAnsi" w:cstheme="minorHAnsi"/>
                <w:iCs/>
                <w:szCs w:val="22"/>
                <w:lang w:bidi="ar-DZ"/>
              </w:rPr>
              <w:t xml:space="preserve"> development on customary land in the South Pacific. Geoforum, 112, 52-62–62. </w:t>
            </w:r>
            <w:hyperlink r:id="rId28" w:history="1">
              <w:r w:rsidRPr="00840873">
                <w:rPr>
                  <w:rFonts w:asciiTheme="minorHAnsi" w:hAnsiTheme="minorHAnsi" w:cstheme="minorHAnsi"/>
                  <w:iCs/>
                  <w:szCs w:val="22"/>
                  <w:lang w:bidi="ar-DZ"/>
                </w:rPr>
                <w:t>https://</w:t>
              </w:r>
              <w:proofErr w:type="spellStart"/>
              <w:r w:rsidRPr="00840873">
                <w:rPr>
                  <w:rFonts w:asciiTheme="minorHAnsi" w:hAnsiTheme="minorHAnsi" w:cstheme="minorHAnsi"/>
                  <w:iCs/>
                  <w:szCs w:val="22"/>
                  <w:lang w:bidi="ar-DZ"/>
                </w:rPr>
                <w:t>doi.org</w:t>
              </w:r>
              <w:proofErr w:type="spellEnd"/>
              <w:r w:rsidRPr="00840873">
                <w:rPr>
                  <w:rFonts w:asciiTheme="minorHAnsi" w:hAnsiTheme="minorHAnsi" w:cstheme="minorHAnsi"/>
                  <w:iCs/>
                  <w:szCs w:val="22"/>
                  <w:lang w:bidi="ar-DZ"/>
                </w:rPr>
                <w:t>/10.1016/</w:t>
              </w:r>
              <w:proofErr w:type="spellStart"/>
              <w:r w:rsidRPr="00840873">
                <w:rPr>
                  <w:rFonts w:asciiTheme="minorHAnsi" w:hAnsiTheme="minorHAnsi" w:cstheme="minorHAnsi"/>
                  <w:iCs/>
                  <w:szCs w:val="22"/>
                  <w:lang w:bidi="ar-DZ"/>
                </w:rPr>
                <w:t>j.geoforum.2020.03.012</w:t>
              </w:r>
              <w:proofErr w:type="spellEnd"/>
            </w:hyperlink>
          </w:p>
          <w:p w14:paraId="28E20E66" w14:textId="2CFEEBD6" w:rsidR="00840873" w:rsidRPr="00840873" w:rsidRDefault="00840873" w:rsidP="00840873">
            <w:pPr>
              <w:spacing w:after="280" w:line="360" w:lineRule="auto"/>
              <w:ind w:left="720" w:hanging="720"/>
              <w:rPr>
                <w:rFonts w:asciiTheme="minorHAnsi" w:hAnsiTheme="minorHAnsi" w:cstheme="minorHAnsi"/>
                <w:iCs/>
                <w:szCs w:val="22"/>
                <w:lang w:bidi="ar-DZ"/>
              </w:rPr>
            </w:pPr>
            <w:r w:rsidRPr="00840873">
              <w:rPr>
                <w:rFonts w:asciiTheme="minorHAnsi" w:hAnsiTheme="minorHAnsi" w:cstheme="minorHAnsi"/>
                <w:iCs/>
                <w:szCs w:val="22"/>
                <w:lang w:bidi="ar-DZ"/>
              </w:rPr>
              <w:t>Stumpf, T. S., &amp; Cheshire, C. L. (2019). The land has voice: understanding the land tenure – sustainable tourism development nexus in Micronesia. Journal of Sustainable Tourism, 27(7), 957–973. https://</w:t>
            </w:r>
            <w:proofErr w:type="spellStart"/>
            <w:r w:rsidRPr="00840873">
              <w:rPr>
                <w:rFonts w:asciiTheme="minorHAnsi" w:hAnsiTheme="minorHAnsi" w:cstheme="minorHAnsi"/>
                <w:iCs/>
                <w:szCs w:val="22"/>
                <w:lang w:bidi="ar-DZ"/>
              </w:rPr>
              <w:t>doi.org</w:t>
            </w:r>
            <w:proofErr w:type="spellEnd"/>
            <w:r w:rsidRPr="00840873">
              <w:rPr>
                <w:rFonts w:asciiTheme="minorHAnsi" w:hAnsiTheme="minorHAnsi" w:cstheme="minorHAnsi"/>
                <w:iCs/>
                <w:szCs w:val="22"/>
                <w:lang w:bidi="ar-DZ"/>
              </w:rPr>
              <w:t>/10.1080/09669582.2018.1538228</w:t>
            </w:r>
          </w:p>
          <w:p w14:paraId="72E9F0B6" w14:textId="77777777" w:rsidR="00840873" w:rsidRPr="000D571E" w:rsidRDefault="00840873" w:rsidP="00840873">
            <w:pPr>
              <w:pBdr>
                <w:top w:val="nil"/>
                <w:left w:val="nil"/>
                <w:bottom w:val="nil"/>
                <w:right w:val="nil"/>
                <w:between w:val="nil"/>
              </w:pBdr>
              <w:shd w:val="clear" w:color="auto" w:fill="FFFFFF"/>
              <w:spacing w:before="240" w:after="240" w:line="360" w:lineRule="auto"/>
              <w:ind w:left="720" w:hanging="720"/>
              <w:rPr>
                <w:rFonts w:ascii="Constantia" w:hAnsi="Constantia"/>
                <w:color w:val="222222"/>
                <w:sz w:val="24"/>
                <w:szCs w:val="24"/>
                <w:highlight w:val="white"/>
              </w:rPr>
            </w:pPr>
          </w:p>
          <w:p w14:paraId="31639DDF" w14:textId="77777777" w:rsidR="00840873" w:rsidRDefault="00840873" w:rsidP="00840873">
            <w:pPr>
              <w:spacing w:line="360" w:lineRule="auto"/>
              <w:ind w:left="720" w:hanging="720"/>
              <w:rPr>
                <w:rFonts w:ascii="Constantia" w:hAnsi="Constantia"/>
                <w:color w:val="222222"/>
                <w:sz w:val="24"/>
                <w:szCs w:val="24"/>
                <w:highlight w:val="white"/>
              </w:rPr>
            </w:pPr>
          </w:p>
          <w:p w14:paraId="666D62CF" w14:textId="77777777" w:rsidR="00B207D1" w:rsidRDefault="00B207D1" w:rsidP="00840873">
            <w:pPr>
              <w:spacing w:line="360" w:lineRule="auto"/>
              <w:ind w:left="720" w:hanging="720"/>
              <w:rPr>
                <w:rFonts w:ascii="Constantia" w:hAnsi="Constantia"/>
                <w:color w:val="222222"/>
                <w:sz w:val="24"/>
                <w:szCs w:val="24"/>
                <w:highlight w:val="white"/>
              </w:rPr>
            </w:pPr>
          </w:p>
          <w:p w14:paraId="488803FA" w14:textId="77777777" w:rsidR="00B207D1" w:rsidRDefault="00B207D1" w:rsidP="00840873">
            <w:pPr>
              <w:spacing w:line="360" w:lineRule="auto"/>
              <w:ind w:left="720" w:hanging="720"/>
              <w:rPr>
                <w:rFonts w:ascii="Constantia" w:hAnsi="Constantia"/>
                <w:color w:val="222222"/>
                <w:sz w:val="24"/>
                <w:szCs w:val="24"/>
                <w:highlight w:val="white"/>
              </w:rPr>
            </w:pPr>
          </w:p>
          <w:p w14:paraId="0E9F0C73" w14:textId="77777777" w:rsidR="00B207D1" w:rsidRDefault="00B207D1" w:rsidP="00840873">
            <w:pPr>
              <w:spacing w:line="360" w:lineRule="auto"/>
              <w:ind w:left="720" w:hanging="720"/>
              <w:rPr>
                <w:rFonts w:ascii="Constantia" w:hAnsi="Constantia"/>
                <w:color w:val="222222"/>
                <w:sz w:val="24"/>
                <w:szCs w:val="24"/>
                <w:highlight w:val="white"/>
              </w:rPr>
            </w:pPr>
          </w:p>
          <w:p w14:paraId="41100F94" w14:textId="77777777" w:rsidR="00B207D1" w:rsidRDefault="00B207D1" w:rsidP="00840873">
            <w:pPr>
              <w:spacing w:line="360" w:lineRule="auto"/>
              <w:ind w:left="720" w:hanging="720"/>
              <w:rPr>
                <w:rFonts w:ascii="Constantia" w:hAnsi="Constantia"/>
                <w:color w:val="222222"/>
                <w:sz w:val="24"/>
                <w:szCs w:val="24"/>
                <w:highlight w:val="white"/>
              </w:rPr>
            </w:pPr>
          </w:p>
          <w:p w14:paraId="4BF259D7" w14:textId="77777777" w:rsidR="00B207D1" w:rsidRDefault="00B207D1" w:rsidP="00840873">
            <w:pPr>
              <w:spacing w:line="360" w:lineRule="auto"/>
              <w:ind w:left="720" w:hanging="720"/>
              <w:rPr>
                <w:rFonts w:ascii="Constantia" w:hAnsi="Constantia"/>
                <w:color w:val="222222"/>
                <w:sz w:val="24"/>
                <w:szCs w:val="24"/>
                <w:highlight w:val="white"/>
              </w:rPr>
            </w:pPr>
          </w:p>
          <w:p w14:paraId="223DBF1E" w14:textId="77777777" w:rsidR="00B207D1" w:rsidRDefault="00B207D1" w:rsidP="00840873">
            <w:pPr>
              <w:spacing w:line="360" w:lineRule="auto"/>
              <w:ind w:left="720" w:hanging="720"/>
              <w:rPr>
                <w:rFonts w:ascii="Constantia" w:hAnsi="Constantia"/>
                <w:color w:val="222222"/>
                <w:sz w:val="24"/>
                <w:szCs w:val="24"/>
                <w:highlight w:val="white"/>
              </w:rPr>
            </w:pPr>
          </w:p>
          <w:p w14:paraId="7B43A781" w14:textId="77777777" w:rsidR="00B207D1" w:rsidRDefault="00B207D1" w:rsidP="00840873">
            <w:pPr>
              <w:spacing w:line="360" w:lineRule="auto"/>
              <w:ind w:left="720" w:hanging="720"/>
              <w:rPr>
                <w:rFonts w:ascii="Constantia" w:hAnsi="Constantia"/>
                <w:color w:val="222222"/>
                <w:sz w:val="24"/>
                <w:szCs w:val="24"/>
                <w:highlight w:val="white"/>
              </w:rPr>
            </w:pPr>
          </w:p>
          <w:p w14:paraId="145FAEBD" w14:textId="77777777" w:rsidR="00B207D1" w:rsidRDefault="00B207D1" w:rsidP="00840873">
            <w:pPr>
              <w:spacing w:line="360" w:lineRule="auto"/>
              <w:ind w:left="720" w:hanging="720"/>
              <w:rPr>
                <w:rFonts w:ascii="Constantia" w:hAnsi="Constantia"/>
                <w:color w:val="222222"/>
                <w:sz w:val="24"/>
                <w:szCs w:val="24"/>
                <w:highlight w:val="white"/>
              </w:rPr>
            </w:pPr>
          </w:p>
          <w:p w14:paraId="053C1356" w14:textId="77777777" w:rsidR="00B207D1" w:rsidRDefault="00B207D1" w:rsidP="00840873">
            <w:pPr>
              <w:spacing w:line="360" w:lineRule="auto"/>
              <w:ind w:left="720" w:hanging="720"/>
              <w:rPr>
                <w:rFonts w:ascii="Constantia" w:hAnsi="Constantia"/>
                <w:color w:val="222222"/>
                <w:sz w:val="24"/>
                <w:szCs w:val="24"/>
                <w:highlight w:val="white"/>
              </w:rPr>
            </w:pPr>
          </w:p>
          <w:p w14:paraId="659BAE7A" w14:textId="77777777" w:rsidR="00B207D1" w:rsidRDefault="00B207D1" w:rsidP="00840873">
            <w:pPr>
              <w:spacing w:line="360" w:lineRule="auto"/>
              <w:ind w:left="720" w:hanging="720"/>
              <w:rPr>
                <w:rFonts w:ascii="Constantia" w:hAnsi="Constantia"/>
                <w:color w:val="222222"/>
                <w:sz w:val="24"/>
                <w:szCs w:val="24"/>
                <w:highlight w:val="white"/>
              </w:rPr>
            </w:pPr>
          </w:p>
          <w:p w14:paraId="1E56609A" w14:textId="77777777" w:rsidR="00B207D1" w:rsidRDefault="00B207D1" w:rsidP="00840873">
            <w:pPr>
              <w:spacing w:line="360" w:lineRule="auto"/>
              <w:ind w:left="720" w:hanging="720"/>
              <w:rPr>
                <w:rFonts w:ascii="Constantia" w:hAnsi="Constantia"/>
                <w:color w:val="222222"/>
                <w:sz w:val="24"/>
                <w:szCs w:val="24"/>
                <w:highlight w:val="white"/>
              </w:rPr>
            </w:pPr>
          </w:p>
          <w:p w14:paraId="7F90D24C" w14:textId="77777777" w:rsidR="00B207D1" w:rsidRDefault="00B207D1" w:rsidP="00840873">
            <w:pPr>
              <w:spacing w:line="360" w:lineRule="auto"/>
              <w:ind w:left="720" w:hanging="720"/>
              <w:rPr>
                <w:rFonts w:ascii="Constantia" w:hAnsi="Constantia"/>
                <w:color w:val="222222"/>
                <w:sz w:val="24"/>
                <w:szCs w:val="24"/>
                <w:highlight w:val="white"/>
              </w:rPr>
            </w:pPr>
          </w:p>
          <w:p w14:paraId="51DAE8EE" w14:textId="77777777" w:rsidR="00B207D1" w:rsidRDefault="00B207D1" w:rsidP="00840873">
            <w:pPr>
              <w:spacing w:line="360" w:lineRule="auto"/>
              <w:ind w:left="720" w:hanging="720"/>
              <w:rPr>
                <w:rFonts w:ascii="Constantia" w:hAnsi="Constantia"/>
                <w:color w:val="222222"/>
                <w:sz w:val="24"/>
                <w:szCs w:val="24"/>
                <w:highlight w:val="white"/>
              </w:rPr>
            </w:pPr>
          </w:p>
          <w:p w14:paraId="2D274D3A" w14:textId="77777777" w:rsidR="00B207D1" w:rsidRDefault="00B207D1" w:rsidP="00840873">
            <w:pPr>
              <w:spacing w:line="360" w:lineRule="auto"/>
              <w:ind w:left="720" w:hanging="720"/>
              <w:rPr>
                <w:rFonts w:ascii="Constantia" w:hAnsi="Constantia"/>
                <w:color w:val="222222"/>
                <w:sz w:val="24"/>
                <w:szCs w:val="24"/>
                <w:highlight w:val="white"/>
              </w:rPr>
            </w:pPr>
          </w:p>
          <w:p w14:paraId="0DC9239D" w14:textId="77777777" w:rsidR="00B207D1" w:rsidRDefault="00B207D1" w:rsidP="00840873">
            <w:pPr>
              <w:spacing w:line="360" w:lineRule="auto"/>
              <w:ind w:left="720" w:hanging="720"/>
              <w:rPr>
                <w:rFonts w:ascii="Constantia" w:hAnsi="Constantia"/>
                <w:color w:val="222222"/>
                <w:sz w:val="24"/>
                <w:szCs w:val="24"/>
                <w:highlight w:val="white"/>
              </w:rPr>
            </w:pPr>
          </w:p>
          <w:p w14:paraId="49AB5D9A" w14:textId="77777777" w:rsidR="00B207D1" w:rsidRDefault="00B207D1" w:rsidP="00840873">
            <w:pPr>
              <w:spacing w:line="360" w:lineRule="auto"/>
              <w:ind w:left="720" w:hanging="720"/>
              <w:rPr>
                <w:rFonts w:ascii="Constantia" w:hAnsi="Constantia"/>
                <w:color w:val="222222"/>
                <w:sz w:val="24"/>
                <w:szCs w:val="24"/>
                <w:highlight w:val="white"/>
              </w:rPr>
            </w:pPr>
          </w:p>
          <w:p w14:paraId="0BC6013F" w14:textId="77777777" w:rsidR="00B207D1" w:rsidRDefault="00B207D1" w:rsidP="00840873">
            <w:pPr>
              <w:spacing w:line="360" w:lineRule="auto"/>
              <w:ind w:left="720" w:hanging="720"/>
              <w:rPr>
                <w:rFonts w:ascii="Constantia" w:hAnsi="Constantia"/>
                <w:color w:val="222222"/>
                <w:sz w:val="24"/>
                <w:szCs w:val="24"/>
                <w:highlight w:val="white"/>
              </w:rPr>
            </w:pPr>
          </w:p>
          <w:p w14:paraId="1DE97C91" w14:textId="2B5BB0BD" w:rsidR="006344A5" w:rsidRPr="00165486" w:rsidRDefault="006344A5" w:rsidP="00840873">
            <w:pPr>
              <w:pStyle w:val="BulletPoints"/>
              <w:numPr>
                <w:ilvl w:val="0"/>
                <w:numId w:val="0"/>
              </w:numPr>
              <w:spacing w:after="0"/>
              <w:ind w:left="360"/>
              <w:jc w:val="left"/>
              <w:rPr>
                <w:b/>
              </w:rPr>
            </w:pPr>
          </w:p>
        </w:tc>
      </w:tr>
      <w:tr w:rsidR="006344A5" w14:paraId="3E63A6F5" w14:textId="77777777" w:rsidTr="00FA73AD">
        <w:tc>
          <w:tcPr>
            <w:tcW w:w="9468" w:type="dxa"/>
          </w:tcPr>
          <w:p w14:paraId="052A12CA" w14:textId="77777777" w:rsidR="006344A5" w:rsidRDefault="006344A5" w:rsidP="00165486">
            <w:pPr>
              <w:pStyle w:val="BulletPoints"/>
              <w:numPr>
                <w:ilvl w:val="0"/>
                <w:numId w:val="0"/>
              </w:numPr>
              <w:jc w:val="left"/>
              <w:rPr>
                <w:rFonts w:asciiTheme="minorHAnsi" w:hAnsiTheme="minorHAnsi" w:cstheme="minorHAnsi"/>
                <w:b/>
                <w:color w:val="864EA8" w:themeColor="accent1" w:themeShade="BF"/>
              </w:rPr>
            </w:pPr>
            <w:r w:rsidRPr="00A62056">
              <w:rPr>
                <w:rFonts w:asciiTheme="minorHAnsi" w:hAnsiTheme="minorHAnsi" w:cstheme="minorHAnsi"/>
                <w:b/>
                <w:color w:val="864EA8" w:themeColor="accent1" w:themeShade="BF"/>
              </w:rPr>
              <w:lastRenderedPageBreak/>
              <w:t>Appendices</w:t>
            </w:r>
          </w:p>
          <w:p w14:paraId="200DD7A0" w14:textId="6B0E17E8" w:rsidR="00CB6449" w:rsidRDefault="00CB6449" w:rsidP="00165486">
            <w:pPr>
              <w:pStyle w:val="BulletPoints"/>
              <w:numPr>
                <w:ilvl w:val="0"/>
                <w:numId w:val="0"/>
              </w:numPr>
              <w:jc w:val="left"/>
              <w:rPr>
                <w:rFonts w:asciiTheme="minorHAnsi" w:hAnsiTheme="minorHAnsi" w:cstheme="minorHAnsi"/>
                <w:b/>
                <w:color w:val="864EA8" w:themeColor="accent1" w:themeShade="BF"/>
              </w:rPr>
            </w:pPr>
            <w:r>
              <w:rPr>
                <w:rFonts w:asciiTheme="minorHAnsi" w:hAnsiTheme="minorHAnsi" w:cstheme="minorHAnsi"/>
                <w:b/>
                <w:color w:val="864EA8" w:themeColor="accent1" w:themeShade="BF"/>
              </w:rPr>
              <w:t>Figure 1:</w:t>
            </w:r>
            <w:r w:rsidR="0062361B">
              <w:rPr>
                <w:rFonts w:asciiTheme="minorHAnsi" w:hAnsiTheme="minorHAnsi" w:cstheme="minorHAnsi"/>
                <w:b/>
                <w:color w:val="864EA8" w:themeColor="accent1" w:themeShade="BF"/>
              </w:rPr>
              <w:t xml:space="preserve"> </w:t>
            </w:r>
          </w:p>
          <w:p w14:paraId="7D72DBBE" w14:textId="07CDFA6A" w:rsidR="0062361B" w:rsidRDefault="0062361B" w:rsidP="00165486">
            <w:pPr>
              <w:pStyle w:val="BulletPoints"/>
              <w:numPr>
                <w:ilvl w:val="0"/>
                <w:numId w:val="0"/>
              </w:numPr>
              <w:jc w:val="left"/>
              <w:rPr>
                <w:rFonts w:asciiTheme="minorHAnsi" w:hAnsiTheme="minorHAnsi" w:cstheme="minorHAnsi"/>
                <w:b/>
                <w:color w:val="864EA8" w:themeColor="accent1" w:themeShade="BF"/>
              </w:rPr>
            </w:pPr>
            <w:r>
              <w:rPr>
                <w:rFonts w:asciiTheme="minorHAnsi" w:hAnsiTheme="minorHAnsi" w:cstheme="minorHAnsi"/>
                <w:b/>
                <w:noProof/>
                <w:color w:val="864EA8" w:themeColor="accent1" w:themeShade="BF"/>
              </w:rPr>
              <w:drawing>
                <wp:inline distT="0" distB="0" distL="0" distR="0" wp14:anchorId="731F7795" wp14:editId="4D90CE14">
                  <wp:extent cx="5875020" cy="4152900"/>
                  <wp:effectExtent l="0" t="0" r="0" b="0"/>
                  <wp:docPr id="599053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53768" name="Picture 59905376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75020" cy="4152900"/>
                          </a:xfrm>
                          <a:prstGeom prst="rect">
                            <a:avLst/>
                          </a:prstGeom>
                        </pic:spPr>
                      </pic:pic>
                    </a:graphicData>
                  </a:graphic>
                </wp:inline>
              </w:drawing>
            </w:r>
          </w:p>
          <w:p w14:paraId="217394FE" w14:textId="05A78F12" w:rsidR="0062361B" w:rsidRDefault="0062361B" w:rsidP="00165486">
            <w:pPr>
              <w:pStyle w:val="BulletPoints"/>
              <w:numPr>
                <w:ilvl w:val="0"/>
                <w:numId w:val="0"/>
              </w:numPr>
              <w:jc w:val="left"/>
              <w:rPr>
                <w:rFonts w:asciiTheme="minorHAnsi" w:hAnsiTheme="minorHAnsi" w:cstheme="minorHAnsi"/>
                <w:b/>
                <w:color w:val="864EA8" w:themeColor="accent1" w:themeShade="BF"/>
              </w:rPr>
            </w:pPr>
            <w:r>
              <w:rPr>
                <w:rFonts w:asciiTheme="minorHAnsi" w:hAnsiTheme="minorHAnsi" w:cstheme="minorHAnsi"/>
                <w:b/>
                <w:color w:val="864EA8" w:themeColor="accent1" w:themeShade="BF"/>
              </w:rPr>
              <w:t>Figure 2:</w:t>
            </w:r>
          </w:p>
          <w:p w14:paraId="522C7396" w14:textId="58487CA5" w:rsidR="00CB6449" w:rsidRDefault="00CB6449" w:rsidP="00165486">
            <w:pPr>
              <w:pStyle w:val="BulletPoints"/>
              <w:numPr>
                <w:ilvl w:val="0"/>
                <w:numId w:val="0"/>
              </w:numPr>
              <w:jc w:val="left"/>
              <w:rPr>
                <w:rFonts w:asciiTheme="minorHAnsi" w:hAnsiTheme="minorHAnsi" w:cstheme="minorHAnsi"/>
                <w:b/>
                <w:color w:val="864EA8" w:themeColor="accent1" w:themeShade="BF"/>
              </w:rPr>
            </w:pPr>
            <w:r>
              <w:rPr>
                <w:rFonts w:asciiTheme="minorHAnsi" w:hAnsiTheme="minorHAnsi" w:cstheme="minorHAnsi"/>
                <w:b/>
                <w:noProof/>
                <w:color w:val="864EA8" w:themeColor="accent1" w:themeShade="BF"/>
              </w:rPr>
              <w:drawing>
                <wp:inline distT="0" distB="0" distL="0" distR="0" wp14:anchorId="6FE2A8D8" wp14:editId="181EAA97">
                  <wp:extent cx="5343525" cy="4007642"/>
                  <wp:effectExtent l="0" t="0" r="0" b="0"/>
                  <wp:docPr id="147607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7176" name="Picture 147607176"/>
                          <pic:cNvPicPr/>
                        </pic:nvPicPr>
                        <pic:blipFill>
                          <a:blip r:embed="rId30">
                            <a:extLst>
                              <a:ext uri="{28A0092B-C50C-407E-A947-70E740481C1C}">
                                <a14:useLocalDpi xmlns:a14="http://schemas.microsoft.com/office/drawing/2010/main" val="0"/>
                              </a:ext>
                            </a:extLst>
                          </a:blip>
                          <a:stretch>
                            <a:fillRect/>
                          </a:stretch>
                        </pic:blipFill>
                        <pic:spPr>
                          <a:xfrm>
                            <a:off x="0" y="0"/>
                            <a:ext cx="5396066" cy="4047048"/>
                          </a:xfrm>
                          <a:prstGeom prst="rect">
                            <a:avLst/>
                          </a:prstGeom>
                        </pic:spPr>
                      </pic:pic>
                    </a:graphicData>
                  </a:graphic>
                </wp:inline>
              </w:drawing>
            </w:r>
          </w:p>
          <w:p w14:paraId="0B54D029" w14:textId="2104D525" w:rsidR="00CB6449" w:rsidRDefault="00CB6449" w:rsidP="00CB6449">
            <w:pPr>
              <w:pStyle w:val="BulletPoints"/>
              <w:numPr>
                <w:ilvl w:val="0"/>
                <w:numId w:val="0"/>
              </w:numPr>
              <w:jc w:val="left"/>
              <w:rPr>
                <w:rFonts w:asciiTheme="minorHAnsi" w:hAnsiTheme="minorHAnsi" w:cstheme="minorHAnsi"/>
                <w:b/>
                <w:color w:val="864EA8" w:themeColor="accent1" w:themeShade="BF"/>
              </w:rPr>
            </w:pPr>
            <w:r>
              <w:rPr>
                <w:rFonts w:asciiTheme="minorHAnsi" w:hAnsiTheme="minorHAnsi" w:cstheme="minorHAnsi"/>
                <w:b/>
                <w:color w:val="864EA8" w:themeColor="accent1" w:themeShade="BF"/>
              </w:rPr>
              <w:lastRenderedPageBreak/>
              <w:t xml:space="preserve">Figure </w:t>
            </w:r>
            <w:r w:rsidR="0062361B">
              <w:rPr>
                <w:rFonts w:asciiTheme="minorHAnsi" w:hAnsiTheme="minorHAnsi" w:cstheme="minorHAnsi"/>
                <w:b/>
                <w:color w:val="864EA8" w:themeColor="accent1" w:themeShade="BF"/>
              </w:rPr>
              <w:t>3</w:t>
            </w:r>
            <w:r>
              <w:rPr>
                <w:rFonts w:asciiTheme="minorHAnsi" w:hAnsiTheme="minorHAnsi" w:cstheme="minorHAnsi"/>
                <w:b/>
                <w:color w:val="864EA8" w:themeColor="accent1" w:themeShade="BF"/>
              </w:rPr>
              <w:t>:</w:t>
            </w:r>
          </w:p>
          <w:p w14:paraId="13E48A83" w14:textId="10657CDC" w:rsidR="00CB6449" w:rsidRDefault="00CB6449" w:rsidP="00CB6449">
            <w:pPr>
              <w:pStyle w:val="BulletPoints"/>
              <w:numPr>
                <w:ilvl w:val="0"/>
                <w:numId w:val="0"/>
              </w:numPr>
              <w:jc w:val="left"/>
              <w:rPr>
                <w:rFonts w:asciiTheme="minorHAnsi" w:hAnsiTheme="minorHAnsi" w:cstheme="minorHAnsi"/>
                <w:b/>
                <w:color w:val="864EA8" w:themeColor="accent1" w:themeShade="BF"/>
              </w:rPr>
            </w:pPr>
            <w:r>
              <w:rPr>
                <w:rFonts w:asciiTheme="minorHAnsi" w:hAnsiTheme="minorHAnsi" w:cstheme="minorHAnsi"/>
                <w:b/>
                <w:noProof/>
                <w:color w:val="864EA8" w:themeColor="accent1" w:themeShade="BF"/>
              </w:rPr>
              <w:drawing>
                <wp:inline distT="0" distB="0" distL="0" distR="0" wp14:anchorId="2073C39D" wp14:editId="29F8EC5F">
                  <wp:extent cx="4876800" cy="3657599"/>
                  <wp:effectExtent l="0" t="0" r="0" b="635"/>
                  <wp:docPr id="32857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7681" name="Picture 3285768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918838" cy="3689127"/>
                          </a:xfrm>
                          <a:prstGeom prst="rect">
                            <a:avLst/>
                          </a:prstGeom>
                        </pic:spPr>
                      </pic:pic>
                    </a:graphicData>
                  </a:graphic>
                </wp:inline>
              </w:drawing>
            </w:r>
          </w:p>
          <w:p w14:paraId="7FF4F23A" w14:textId="77777777" w:rsidR="00D01590" w:rsidRDefault="00D01590" w:rsidP="00263F56">
            <w:pPr>
              <w:pStyle w:val="BulletPoints"/>
              <w:numPr>
                <w:ilvl w:val="0"/>
                <w:numId w:val="0"/>
              </w:numPr>
              <w:jc w:val="left"/>
              <w:rPr>
                <w:rFonts w:asciiTheme="minorHAnsi" w:hAnsiTheme="minorHAnsi" w:cstheme="minorHAnsi"/>
                <w:b/>
                <w:color w:val="864EA8" w:themeColor="accent1" w:themeShade="BF"/>
              </w:rPr>
            </w:pPr>
          </w:p>
          <w:p w14:paraId="36ED1F5F" w14:textId="0DE8743A" w:rsidR="00263F56" w:rsidRDefault="00263F56" w:rsidP="00263F56">
            <w:pPr>
              <w:pStyle w:val="BulletPoints"/>
              <w:numPr>
                <w:ilvl w:val="0"/>
                <w:numId w:val="0"/>
              </w:numPr>
              <w:jc w:val="left"/>
              <w:rPr>
                <w:rFonts w:asciiTheme="minorHAnsi" w:hAnsiTheme="minorHAnsi" w:cstheme="minorHAnsi"/>
                <w:b/>
                <w:color w:val="864EA8" w:themeColor="accent1" w:themeShade="BF"/>
              </w:rPr>
            </w:pPr>
            <w:r>
              <w:rPr>
                <w:rFonts w:asciiTheme="minorHAnsi" w:hAnsiTheme="minorHAnsi" w:cstheme="minorHAnsi"/>
                <w:b/>
                <w:color w:val="864EA8" w:themeColor="accent1" w:themeShade="BF"/>
              </w:rPr>
              <w:t xml:space="preserve">Figure </w:t>
            </w:r>
            <w:r w:rsidR="001417BB">
              <w:rPr>
                <w:rFonts w:asciiTheme="minorHAnsi" w:hAnsiTheme="minorHAnsi" w:cstheme="minorHAnsi"/>
                <w:b/>
                <w:color w:val="864EA8" w:themeColor="accent1" w:themeShade="BF"/>
              </w:rPr>
              <w:t>4</w:t>
            </w:r>
            <w:r>
              <w:rPr>
                <w:rFonts w:asciiTheme="minorHAnsi" w:hAnsiTheme="minorHAnsi" w:cstheme="minorHAnsi"/>
                <w:b/>
                <w:color w:val="864EA8" w:themeColor="accent1" w:themeShade="BF"/>
              </w:rPr>
              <w:t>:</w:t>
            </w:r>
          </w:p>
          <w:p w14:paraId="2522AD6B" w14:textId="1B604A6C" w:rsidR="006344A5" w:rsidRPr="00D47CED" w:rsidRDefault="00263F56" w:rsidP="00D47CED">
            <w:pPr>
              <w:pStyle w:val="BulletPoints"/>
              <w:numPr>
                <w:ilvl w:val="0"/>
                <w:numId w:val="0"/>
              </w:numPr>
              <w:jc w:val="left"/>
              <w:rPr>
                <w:rFonts w:asciiTheme="minorHAnsi" w:hAnsiTheme="minorHAnsi" w:cstheme="minorHAnsi"/>
                <w:b/>
                <w:color w:val="864EA8" w:themeColor="accent1" w:themeShade="BF"/>
              </w:rPr>
            </w:pPr>
            <w:r>
              <w:rPr>
                <w:rFonts w:asciiTheme="minorHAnsi" w:hAnsiTheme="minorHAnsi" w:cstheme="minorHAnsi"/>
                <w:b/>
                <w:noProof/>
                <w:color w:val="864EA8" w:themeColor="accent1" w:themeShade="BF"/>
              </w:rPr>
              <w:drawing>
                <wp:inline distT="0" distB="0" distL="0" distR="0" wp14:anchorId="2B3B25EA" wp14:editId="4DBFADF5">
                  <wp:extent cx="5968649" cy="4476486"/>
                  <wp:effectExtent l="0" t="0" r="0" b="635"/>
                  <wp:docPr id="2024117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17993" name="Picture 2024117993"/>
                          <pic:cNvPicPr/>
                        </pic:nvPicPr>
                        <pic:blipFill>
                          <a:blip r:embed="rId32">
                            <a:extLst>
                              <a:ext uri="{28A0092B-C50C-407E-A947-70E740481C1C}">
                                <a14:useLocalDpi xmlns:a14="http://schemas.microsoft.com/office/drawing/2010/main" val="0"/>
                              </a:ext>
                            </a:extLst>
                          </a:blip>
                          <a:stretch>
                            <a:fillRect/>
                          </a:stretch>
                        </pic:blipFill>
                        <pic:spPr>
                          <a:xfrm>
                            <a:off x="0" y="0"/>
                            <a:ext cx="5982521" cy="4486890"/>
                          </a:xfrm>
                          <a:prstGeom prst="rect">
                            <a:avLst/>
                          </a:prstGeom>
                        </pic:spPr>
                      </pic:pic>
                    </a:graphicData>
                  </a:graphic>
                </wp:inline>
              </w:drawing>
            </w:r>
          </w:p>
        </w:tc>
      </w:tr>
      <w:tr w:rsidR="00117A0D" w14:paraId="2534EACF" w14:textId="77777777" w:rsidTr="00E843C0">
        <w:tc>
          <w:tcPr>
            <w:tcW w:w="9468" w:type="dxa"/>
          </w:tcPr>
          <w:p w14:paraId="3BFE48A0" w14:textId="1B8F4F8E" w:rsidR="00117A0D" w:rsidRPr="00165486" w:rsidRDefault="00117A0D" w:rsidP="00117A0D">
            <w:pPr>
              <w:pStyle w:val="BulletPoints"/>
              <w:numPr>
                <w:ilvl w:val="0"/>
                <w:numId w:val="0"/>
              </w:numPr>
              <w:spacing w:after="0"/>
              <w:ind w:left="720" w:hanging="720"/>
              <w:jc w:val="left"/>
              <w:rPr>
                <w:rFonts w:ascii="Tahoma" w:hAnsi="Tahoma" w:cs="Tahoma"/>
                <w:i/>
                <w:color w:val="800080"/>
                <w:sz w:val="22"/>
                <w:szCs w:val="22"/>
              </w:rPr>
            </w:pPr>
          </w:p>
        </w:tc>
      </w:tr>
    </w:tbl>
    <w:p w14:paraId="498E1BAF" w14:textId="77777777" w:rsidR="00831C12" w:rsidRDefault="00831C12" w:rsidP="006344A5">
      <w:pPr>
        <w:pStyle w:val="Heading3"/>
        <w:jc w:val="left"/>
        <w:sectPr w:rsidR="00831C12" w:rsidSect="00D01590">
          <w:pgSz w:w="11907" w:h="16840" w:code="9"/>
          <w:pgMar w:top="851" w:right="851" w:bottom="1021" w:left="851" w:header="0" w:footer="0" w:gutter="0"/>
          <w:pgNumType w:start="5"/>
          <w:cols w:space="720"/>
          <w:formProt w:val="0"/>
          <w:docGrid w:linePitch="299"/>
        </w:sectPr>
      </w:pPr>
    </w:p>
    <w:p w14:paraId="37F93515" w14:textId="77777777" w:rsidR="00C96608" w:rsidRDefault="00C96608" w:rsidP="00B90C33">
      <w:pPr>
        <w:pStyle w:val="Heading3"/>
        <w:spacing w:after="0"/>
        <w:jc w:val="left"/>
      </w:pPr>
    </w:p>
    <w:sectPr w:rsidR="00C96608" w:rsidSect="00AA704D">
      <w:type w:val="continuous"/>
      <w:pgSz w:w="11907" w:h="16840" w:code="9"/>
      <w:pgMar w:top="720" w:right="720" w:bottom="720" w:left="720" w:header="567" w:footer="0" w:gutter="0"/>
      <w:pgNumType w:start="1"/>
      <w:cols w:num="2"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BEF65" w14:textId="77777777" w:rsidR="00A40973" w:rsidRDefault="00A40973">
      <w:r>
        <w:separator/>
      </w:r>
    </w:p>
  </w:endnote>
  <w:endnote w:type="continuationSeparator" w:id="0">
    <w:p w14:paraId="550A7DEE" w14:textId="77777777" w:rsidR="00A40973" w:rsidRDefault="00A40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35C0" w14:textId="77777777" w:rsidR="00C035A9" w:rsidRDefault="00C035A9">
    <w:pPr>
      <w:pStyle w:val="Footer"/>
      <w:framePr w:wrap="around" w:vAnchor="text" w:hAnchor="margin" w:xAlign="right" w:y="1"/>
    </w:pPr>
    <w:r>
      <w:fldChar w:fldCharType="begin"/>
    </w:r>
    <w:r>
      <w:instrText xml:space="preserve">PAGE  </w:instrText>
    </w:r>
    <w:r>
      <w:fldChar w:fldCharType="separate"/>
    </w:r>
    <w:r w:rsidR="00090811">
      <w:rPr>
        <w:noProof/>
      </w:rPr>
      <w:t>3</w:t>
    </w:r>
    <w:r>
      <w:fldChar w:fldCharType="end"/>
    </w:r>
  </w:p>
  <w:p w14:paraId="37F935C1" w14:textId="77777777" w:rsidR="00C035A9" w:rsidRDefault="00C035A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908" w:type="dxa"/>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9214"/>
    </w:tblGrid>
    <w:tr w:rsidR="00F3682C" w14:paraId="7169633F" w14:textId="77777777" w:rsidTr="00F3682C">
      <w:trPr>
        <w:trHeight w:val="709"/>
      </w:trPr>
      <w:tc>
        <w:tcPr>
          <w:tcW w:w="2694" w:type="dxa"/>
          <w:shd w:val="clear" w:color="auto" w:fill="514DAA" w:themeFill="accent2" w:themeFillShade="BF"/>
        </w:tcPr>
        <w:p w14:paraId="6FE4FC77" w14:textId="0CE39F27" w:rsidR="00F3682C" w:rsidRDefault="00F3682C" w:rsidP="00047CA5">
          <w:pPr>
            <w:pStyle w:val="Footer"/>
            <w:tabs>
              <w:tab w:val="clear" w:pos="4320"/>
              <w:tab w:val="clear" w:pos="8640"/>
              <w:tab w:val="left" w:pos="2040"/>
              <w:tab w:val="right" w:pos="2478"/>
            </w:tabs>
          </w:pPr>
          <w:r w:rsidRPr="00F3682C">
            <w:rPr>
              <w:noProof/>
            </w:rPr>
            <w:drawing>
              <wp:inline distT="0" distB="0" distL="0" distR="0" wp14:anchorId="73116251" wp14:editId="7CF5B622">
                <wp:extent cx="419099" cy="426617"/>
                <wp:effectExtent l="0" t="0" r="635" b="0"/>
                <wp:docPr id="2142983805" name="Picture 1" descr="A logo with swirl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03" name="Picture 1" descr="A logo with swirls and lines&#10;&#10;Description automatically generated"/>
                        <pic:cNvPicPr/>
                      </pic:nvPicPr>
                      <pic:blipFill>
                        <a:blip r:embed="rId1"/>
                        <a:stretch>
                          <a:fillRect/>
                        </a:stretch>
                      </pic:blipFill>
                      <pic:spPr>
                        <a:xfrm>
                          <a:off x="0" y="0"/>
                          <a:ext cx="430505" cy="438228"/>
                        </a:xfrm>
                        <a:prstGeom prst="rect">
                          <a:avLst/>
                        </a:prstGeom>
                      </pic:spPr>
                    </pic:pic>
                  </a:graphicData>
                </a:graphic>
              </wp:inline>
            </w:drawing>
          </w:r>
          <w:r>
            <w:tab/>
          </w:r>
          <w:r w:rsidR="00047CA5">
            <w:tab/>
          </w:r>
        </w:p>
      </w:tc>
      <w:tc>
        <w:tcPr>
          <w:tcW w:w="9214" w:type="dxa"/>
          <w:shd w:val="clear" w:color="auto" w:fill="514DAA" w:themeFill="accent2" w:themeFillShade="BF"/>
        </w:tcPr>
        <w:p w14:paraId="3EB6445C" w14:textId="0A11F9B1" w:rsidR="00F3682C" w:rsidRPr="00F3682C" w:rsidRDefault="00F3682C" w:rsidP="00F3682C">
          <w:pPr>
            <w:pStyle w:val="Footer"/>
            <w:rPr>
              <w:b/>
              <w:bCs/>
            </w:rPr>
          </w:pPr>
          <w:r w:rsidRPr="00F3682C">
            <w:rPr>
              <w:b/>
              <w:bCs/>
              <w:color w:val="FFFFFF" w:themeColor="background1"/>
            </w:rPr>
            <w:t xml:space="preserve">                                                                                 </w:t>
          </w:r>
          <w:r>
            <w:rPr>
              <w:b/>
              <w:bCs/>
              <w:color w:val="FFFFFF" w:themeColor="background1"/>
            </w:rPr>
            <w:t xml:space="preserve">              </w:t>
          </w:r>
          <w:r w:rsidR="00D164D5">
            <w:rPr>
              <w:b/>
              <w:bCs/>
              <w:color w:val="FFFFFF" w:themeColor="background1"/>
            </w:rPr>
            <w:t>Sieni Tiraa</w:t>
          </w:r>
          <w:r w:rsidRPr="00F3682C">
            <w:rPr>
              <w:b/>
              <w:bCs/>
              <w:color w:val="FFFFFF" w:themeColor="background1"/>
            </w:rPr>
            <w:t xml:space="preserve"> | Page </w:t>
          </w:r>
          <w:r w:rsidR="00DF7381">
            <w:rPr>
              <w:b/>
              <w:bCs/>
              <w:color w:val="FFFFFF" w:themeColor="background1"/>
            </w:rPr>
            <w:t>2</w:t>
          </w:r>
        </w:p>
      </w:tc>
    </w:tr>
  </w:tbl>
  <w:p w14:paraId="37F935C2" w14:textId="39A1963F" w:rsidR="00C035A9" w:rsidRDefault="00C035A9">
    <w:pPr>
      <w:pStyle w:val="Footer"/>
      <w:tabs>
        <w:tab w:val="clear" w:pos="8640"/>
        <w:tab w:val="right" w:pos="9072"/>
      </w:tabs>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908" w:type="dxa"/>
      <w:tblInd w:w="-1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9214"/>
    </w:tblGrid>
    <w:tr w:rsidR="00F3682C" w14:paraId="0C849CCA" w14:textId="77777777" w:rsidTr="00F3682C">
      <w:trPr>
        <w:trHeight w:val="709"/>
      </w:trPr>
      <w:tc>
        <w:tcPr>
          <w:tcW w:w="2694" w:type="dxa"/>
          <w:shd w:val="clear" w:color="auto" w:fill="514DAA" w:themeFill="accent2" w:themeFillShade="BF"/>
        </w:tcPr>
        <w:p w14:paraId="1DE0B93B" w14:textId="1FCE50CA" w:rsidR="00F3682C" w:rsidRDefault="00F3682C" w:rsidP="00F3682C">
          <w:pPr>
            <w:pStyle w:val="Footer"/>
            <w:tabs>
              <w:tab w:val="clear" w:pos="4320"/>
              <w:tab w:val="clear" w:pos="8640"/>
              <w:tab w:val="right" w:pos="2478"/>
            </w:tabs>
          </w:pPr>
          <w:r w:rsidRPr="00F3682C">
            <w:rPr>
              <w:noProof/>
            </w:rPr>
            <w:drawing>
              <wp:inline distT="0" distB="0" distL="0" distR="0" wp14:anchorId="1ED142DE" wp14:editId="5CFEF02D">
                <wp:extent cx="419099" cy="426617"/>
                <wp:effectExtent l="0" t="0" r="635" b="0"/>
                <wp:docPr id="1789969590" name="Picture 1" descr="A logo with swirl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03" name="Picture 1" descr="A logo with swirls and lines&#10;&#10;Description automatically generated"/>
                        <pic:cNvPicPr/>
                      </pic:nvPicPr>
                      <pic:blipFill>
                        <a:blip r:embed="rId1"/>
                        <a:stretch>
                          <a:fillRect/>
                        </a:stretch>
                      </pic:blipFill>
                      <pic:spPr>
                        <a:xfrm>
                          <a:off x="0" y="0"/>
                          <a:ext cx="430505" cy="438228"/>
                        </a:xfrm>
                        <a:prstGeom prst="rect">
                          <a:avLst/>
                        </a:prstGeom>
                      </pic:spPr>
                    </pic:pic>
                  </a:graphicData>
                </a:graphic>
              </wp:inline>
            </w:drawing>
          </w:r>
          <w:r>
            <w:tab/>
          </w:r>
        </w:p>
      </w:tc>
      <w:tc>
        <w:tcPr>
          <w:tcW w:w="9214" w:type="dxa"/>
          <w:shd w:val="clear" w:color="auto" w:fill="514DAA" w:themeFill="accent2" w:themeFillShade="BF"/>
        </w:tcPr>
        <w:p w14:paraId="56BE0D04" w14:textId="789EDD06" w:rsidR="00F3682C" w:rsidRDefault="00F3682C" w:rsidP="00F3682C">
          <w:pPr>
            <w:pStyle w:val="Footer"/>
            <w:rPr>
              <w:b/>
              <w:bCs/>
              <w:color w:val="FFFFFF" w:themeColor="background1"/>
            </w:rPr>
          </w:pPr>
          <w:r w:rsidRPr="00F3682C">
            <w:rPr>
              <w:b/>
              <w:bCs/>
              <w:color w:val="FFFFFF" w:themeColor="background1"/>
            </w:rPr>
            <w:t xml:space="preserve">                                                                                 </w:t>
          </w:r>
          <w:r>
            <w:rPr>
              <w:b/>
              <w:bCs/>
              <w:color w:val="FFFFFF" w:themeColor="background1"/>
            </w:rPr>
            <w:t xml:space="preserve">              </w:t>
          </w:r>
          <w:r w:rsidR="00D05401">
            <w:rPr>
              <w:b/>
              <w:bCs/>
              <w:color w:val="FFFFFF" w:themeColor="background1"/>
            </w:rPr>
            <w:t>Sieni Tiraa</w:t>
          </w:r>
          <w:r w:rsidRPr="00F3682C">
            <w:rPr>
              <w:b/>
              <w:bCs/>
              <w:color w:val="FFFFFF" w:themeColor="background1"/>
            </w:rPr>
            <w:t xml:space="preserve"> | Page </w:t>
          </w:r>
          <w:r w:rsidR="00D05401">
            <w:rPr>
              <w:b/>
              <w:bCs/>
              <w:color w:val="FFFFFF" w:themeColor="background1"/>
            </w:rPr>
            <w:t>1</w:t>
          </w:r>
        </w:p>
        <w:p w14:paraId="512ED3EA" w14:textId="5406331C" w:rsidR="00047CA5" w:rsidRPr="00047CA5" w:rsidRDefault="00047CA5" w:rsidP="00047CA5">
          <w:pPr>
            <w:tabs>
              <w:tab w:val="left" w:pos="3495"/>
            </w:tabs>
          </w:pPr>
          <w:r>
            <w:tab/>
          </w:r>
        </w:p>
      </w:tc>
    </w:tr>
  </w:tbl>
  <w:p w14:paraId="37F935CA" w14:textId="44E48AD9" w:rsidR="00C035A9" w:rsidRDefault="00F3682C" w:rsidP="00F3682C">
    <w:pPr>
      <w:pStyle w:val="Footer"/>
      <w:rPr>
        <w:sz w:val="18"/>
      </w:rPr>
    </w:pPr>
    <w:r>
      <w:tab/>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821860"/>
      <w:docPartObj>
        <w:docPartGallery w:val="Page Numbers (Bottom of Page)"/>
        <w:docPartUnique/>
      </w:docPartObj>
    </w:sdtPr>
    <w:sdtEndPr>
      <w:rPr>
        <w:noProof/>
      </w:rPr>
    </w:sdtEndPr>
    <w:sdtContent>
      <w:p w14:paraId="2C07373D" w14:textId="4E5C1440" w:rsidR="007474E7" w:rsidRDefault="007474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A10FFF" w14:textId="77777777" w:rsidR="00DF7381" w:rsidRDefault="00DF7381">
    <w:pPr>
      <w:pStyle w:val="Footer"/>
      <w:tabs>
        <w:tab w:val="clear" w:pos="8640"/>
        <w:tab w:val="right" w:pos="9072"/>
      </w:tabs>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1AF66" w14:textId="77777777" w:rsidR="00A40973" w:rsidRDefault="00A40973">
      <w:r>
        <w:separator/>
      </w:r>
    </w:p>
  </w:footnote>
  <w:footnote w:type="continuationSeparator" w:id="0">
    <w:p w14:paraId="5218A38C" w14:textId="77777777" w:rsidR="00A40973" w:rsidRDefault="00A40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35BD" w14:textId="77777777" w:rsidR="00C035A9" w:rsidRDefault="00C035A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90811">
      <w:rPr>
        <w:rStyle w:val="PageNumber"/>
        <w:noProof/>
      </w:rPr>
      <w:t>3</w:t>
    </w:r>
    <w:r>
      <w:rPr>
        <w:rStyle w:val="PageNumber"/>
      </w:rPr>
      <w:fldChar w:fldCharType="end"/>
    </w:r>
  </w:p>
  <w:p w14:paraId="37F935BE" w14:textId="77777777" w:rsidR="00C035A9" w:rsidRDefault="00C035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35BF" w14:textId="68138929" w:rsidR="00C035A9" w:rsidRDefault="00C035A9">
    <w:pPr>
      <w:pStyle w:val="Header"/>
      <w:tabs>
        <w:tab w:val="clear" w:pos="4320"/>
        <w:tab w:val="clear" w:pos="8640"/>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908" w:type="dxa"/>
      <w:tblInd w:w="-1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6B5DD" w:themeFill="accent2" w:themeFillTint="99"/>
      <w:tblLook w:val="04A0" w:firstRow="1" w:lastRow="0" w:firstColumn="1" w:lastColumn="0" w:noHBand="0" w:noVBand="1"/>
    </w:tblPr>
    <w:tblGrid>
      <w:gridCol w:w="4050"/>
      <w:gridCol w:w="7858"/>
    </w:tblGrid>
    <w:tr w:rsidR="00831C12" w14:paraId="13E1D8B1" w14:textId="77777777" w:rsidTr="00831C12">
      <w:trPr>
        <w:trHeight w:val="1843"/>
      </w:trPr>
      <w:tc>
        <w:tcPr>
          <w:tcW w:w="4050" w:type="dxa"/>
          <w:shd w:val="clear" w:color="auto" w:fill="514DAA" w:themeFill="accent2" w:themeFillShade="BF"/>
        </w:tcPr>
        <w:p w14:paraId="564BFEC2" w14:textId="071A5B9C" w:rsidR="00831C12" w:rsidRPr="00831C12" w:rsidRDefault="00831C12" w:rsidP="00F3682C">
          <w:pPr>
            <w:ind w:left="-1523"/>
          </w:pPr>
          <w:r w:rsidRPr="00831C12">
            <w:rPr>
              <w:noProof/>
            </w:rPr>
            <w:drawing>
              <wp:anchor distT="0" distB="0" distL="114300" distR="114300" simplePos="0" relativeHeight="251658240" behindDoc="1" locked="0" layoutInCell="1" allowOverlap="1" wp14:anchorId="13B21678" wp14:editId="188C60B2">
                <wp:simplePos x="0" y="0"/>
                <wp:positionH relativeFrom="column">
                  <wp:posOffset>166370</wp:posOffset>
                </wp:positionH>
                <wp:positionV relativeFrom="paragraph">
                  <wp:posOffset>219075</wp:posOffset>
                </wp:positionV>
                <wp:extent cx="2257425" cy="767080"/>
                <wp:effectExtent l="0" t="0" r="9525" b="0"/>
                <wp:wrapThrough wrapText="bothSides">
                  <wp:wrapPolygon edited="0">
                    <wp:start x="0" y="0"/>
                    <wp:lineTo x="0" y="20921"/>
                    <wp:lineTo x="21509" y="20921"/>
                    <wp:lineTo x="21509" y="0"/>
                    <wp:lineTo x="0" y="0"/>
                  </wp:wrapPolygon>
                </wp:wrapThrough>
                <wp:docPr id="1152124915" name="Picture 115212491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57425" cy="767080"/>
                        </a:xfrm>
                        <a:prstGeom prst="rect">
                          <a:avLst/>
                        </a:prstGeom>
                      </pic:spPr>
                    </pic:pic>
                  </a:graphicData>
                </a:graphic>
              </wp:anchor>
            </w:drawing>
          </w:r>
        </w:p>
      </w:tc>
      <w:tc>
        <w:tcPr>
          <w:tcW w:w="7858" w:type="dxa"/>
          <w:shd w:val="clear" w:color="auto" w:fill="514DAA" w:themeFill="accent2" w:themeFillShade="BF"/>
        </w:tcPr>
        <w:p w14:paraId="704A461C" w14:textId="77777777" w:rsidR="00831C12" w:rsidRPr="00831C12" w:rsidRDefault="00831C12">
          <w:pPr>
            <w:rPr>
              <w:rFonts w:asciiTheme="majorHAnsi" w:hAnsiTheme="majorHAnsi" w:cstheme="minorHAnsi"/>
              <w:b/>
              <w:sz w:val="28"/>
              <w:szCs w:val="28"/>
            </w:rPr>
          </w:pPr>
        </w:p>
        <w:p w14:paraId="3E71509C" w14:textId="285FDA3E" w:rsidR="00831C12" w:rsidRPr="00831C12" w:rsidRDefault="00831C12" w:rsidP="00831C12">
          <w:pPr>
            <w:spacing w:line="360" w:lineRule="auto"/>
            <w:rPr>
              <w:rFonts w:asciiTheme="majorHAnsi" w:hAnsiTheme="majorHAnsi" w:cstheme="minorHAnsi"/>
              <w:b/>
              <w:color w:val="FFFFFF" w:themeColor="background1"/>
              <w:sz w:val="26"/>
              <w:szCs w:val="26"/>
            </w:rPr>
          </w:pPr>
          <w:r w:rsidRPr="00831C12">
            <w:rPr>
              <w:rFonts w:asciiTheme="majorHAnsi" w:hAnsiTheme="majorHAnsi" w:cstheme="minorHAnsi"/>
              <w:b/>
              <w:color w:val="FFFFFF" w:themeColor="background1"/>
              <w:sz w:val="26"/>
              <w:szCs w:val="26"/>
            </w:rPr>
            <w:t>New Zealand Postgraduate Development Field Research Award</w:t>
          </w:r>
        </w:p>
        <w:p w14:paraId="26E67DF7" w14:textId="142F03B6" w:rsidR="00831C12" w:rsidRPr="00831C12" w:rsidRDefault="00831C12" w:rsidP="00831C12">
          <w:pPr>
            <w:spacing w:line="360" w:lineRule="auto"/>
            <w:rPr>
              <w:rFonts w:asciiTheme="majorHAnsi" w:hAnsiTheme="majorHAnsi" w:cstheme="minorHAnsi"/>
              <w:b/>
              <w:color w:val="FFFFFF" w:themeColor="background1"/>
              <w:sz w:val="26"/>
              <w:szCs w:val="26"/>
            </w:rPr>
          </w:pPr>
          <w:r w:rsidRPr="00831C12">
            <w:rPr>
              <w:rFonts w:asciiTheme="majorHAnsi" w:hAnsiTheme="majorHAnsi" w:cstheme="minorHAnsi"/>
              <w:b/>
              <w:color w:val="FFFFFF" w:themeColor="background1"/>
              <w:sz w:val="26"/>
              <w:szCs w:val="26"/>
            </w:rPr>
            <w:t>Policy Brief</w:t>
          </w:r>
        </w:p>
        <w:p w14:paraId="3C794892" w14:textId="13767BC7" w:rsidR="00831C12" w:rsidRPr="00831C12" w:rsidRDefault="00831C12" w:rsidP="00831C12">
          <w:pPr>
            <w:spacing w:line="360" w:lineRule="auto"/>
            <w:rPr>
              <w:rFonts w:asciiTheme="majorHAnsi" w:hAnsiTheme="majorHAnsi" w:cstheme="minorHAnsi"/>
              <w:b/>
              <w:sz w:val="24"/>
              <w:szCs w:val="24"/>
            </w:rPr>
          </w:pPr>
          <w:r w:rsidRPr="00831C12">
            <w:rPr>
              <w:rFonts w:asciiTheme="majorHAnsi" w:hAnsiTheme="majorHAnsi" w:cstheme="minorHAnsi"/>
              <w:b/>
              <w:color w:val="FFFFFF" w:themeColor="background1"/>
              <w:sz w:val="26"/>
              <w:szCs w:val="26"/>
            </w:rPr>
            <w:t>202</w:t>
          </w:r>
          <w:r w:rsidR="00D47CED">
            <w:rPr>
              <w:rFonts w:asciiTheme="majorHAnsi" w:hAnsiTheme="majorHAnsi" w:cstheme="minorHAnsi"/>
              <w:b/>
              <w:color w:val="FFFFFF" w:themeColor="background1"/>
              <w:sz w:val="26"/>
              <w:szCs w:val="26"/>
            </w:rPr>
            <w:t>6</w:t>
          </w:r>
        </w:p>
      </w:tc>
    </w:tr>
  </w:tbl>
  <w:p w14:paraId="7F431101" w14:textId="53073D23" w:rsidR="00F20EC1" w:rsidRDefault="00F20EC1" w:rsidP="00831C12">
    <w:pPr>
      <w:pStyle w:val="Header"/>
      <w:tabs>
        <w:tab w:val="clear" w:pos="4320"/>
        <w:tab w:val="clear" w:pos="8640"/>
        <w:tab w:val="center" w:pos="4536"/>
        <w:tab w:val="right" w:pos="90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7D7A9" w14:textId="045935A8" w:rsidR="00B90C33" w:rsidRDefault="00B90C33">
    <w:pPr>
      <w:pStyle w:val="Header"/>
      <w:tabs>
        <w:tab w:val="clear" w:pos="4320"/>
        <w:tab w:val="clear" w:pos="8640"/>
        <w:tab w:val="center" w:pos="4680"/>
        <w:tab w:val="right" w:pos="9360"/>
      </w:tabs>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A2061"/>
    <w:multiLevelType w:val="hybridMultilevel"/>
    <w:tmpl w:val="79CE740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4B12644"/>
    <w:multiLevelType w:val="hybridMultilevel"/>
    <w:tmpl w:val="3D24E824"/>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052217E4"/>
    <w:multiLevelType w:val="hybridMultilevel"/>
    <w:tmpl w:val="00D6827E"/>
    <w:lvl w:ilvl="0" w:tplc="20000003">
      <w:start w:val="1"/>
      <w:numFmt w:val="bullet"/>
      <w:lvlText w:val="o"/>
      <w:lvlJc w:val="left"/>
      <w:pPr>
        <w:ind w:left="360" w:hanging="360"/>
      </w:pPr>
      <w:rPr>
        <w:rFonts w:ascii="Courier New" w:hAnsi="Courier New" w:cs="Courier New"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0A812F75"/>
    <w:multiLevelType w:val="hybridMultilevel"/>
    <w:tmpl w:val="BB702BE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0CB6EB1"/>
    <w:multiLevelType w:val="singleLevel"/>
    <w:tmpl w:val="EC284236"/>
    <w:lvl w:ilvl="0">
      <w:start w:val="1"/>
      <w:numFmt w:val="bullet"/>
      <w:pStyle w:val="BulletText3"/>
      <w:lvlText w:val=""/>
      <w:lvlJc w:val="left"/>
      <w:pPr>
        <w:tabs>
          <w:tab w:val="num" w:pos="794"/>
        </w:tabs>
        <w:ind w:left="794" w:hanging="397"/>
      </w:pPr>
      <w:rPr>
        <w:rFonts w:ascii="Symbol" w:hAnsi="Symbol" w:hint="default"/>
        <w:color w:val="008080"/>
      </w:rPr>
    </w:lvl>
  </w:abstractNum>
  <w:abstractNum w:abstractNumId="6" w15:restartNumberingAfterBreak="0">
    <w:nsid w:val="1CEF35F0"/>
    <w:multiLevelType w:val="hybridMultilevel"/>
    <w:tmpl w:val="CE6EC7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79423F7"/>
    <w:multiLevelType w:val="hybridMultilevel"/>
    <w:tmpl w:val="E8128796"/>
    <w:lvl w:ilvl="0" w:tplc="B19AE3A4">
      <w:start w:val="1"/>
      <w:numFmt w:val="bullet"/>
      <w:pStyle w:val="BulletText2"/>
      <w:lvlText w:val=""/>
      <w:lvlJc w:val="left"/>
      <w:pPr>
        <w:tabs>
          <w:tab w:val="num" w:pos="397"/>
        </w:tabs>
        <w:ind w:left="397" w:hanging="397"/>
      </w:pPr>
      <w:rPr>
        <w:rFonts w:ascii="Symbol" w:hAnsi="Symbol" w:hint="default"/>
        <w:color w:val="00808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2C0D51"/>
    <w:multiLevelType w:val="singleLevel"/>
    <w:tmpl w:val="ED6027D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FB67B70"/>
    <w:multiLevelType w:val="hybridMultilevel"/>
    <w:tmpl w:val="B4BAE5A6"/>
    <w:lvl w:ilvl="0" w:tplc="14090001">
      <w:start w:val="1"/>
      <w:numFmt w:val="bullet"/>
      <w:lvlText w:val=""/>
      <w:lvlJc w:val="left"/>
      <w:pPr>
        <w:ind w:left="2160" w:hanging="360"/>
      </w:pPr>
      <w:rPr>
        <w:rFonts w:ascii="Symbol" w:hAnsi="Symbol" w:hint="default"/>
      </w:rPr>
    </w:lvl>
    <w:lvl w:ilvl="1" w:tplc="14090003" w:tentative="1">
      <w:start w:val="1"/>
      <w:numFmt w:val="bullet"/>
      <w:lvlText w:val="o"/>
      <w:lvlJc w:val="left"/>
      <w:pPr>
        <w:ind w:left="2880" w:hanging="360"/>
      </w:pPr>
      <w:rPr>
        <w:rFonts w:ascii="Courier New" w:hAnsi="Courier New" w:cs="Courier New" w:hint="default"/>
      </w:rPr>
    </w:lvl>
    <w:lvl w:ilvl="2" w:tplc="14090005" w:tentative="1">
      <w:start w:val="1"/>
      <w:numFmt w:val="bullet"/>
      <w:lvlText w:val=""/>
      <w:lvlJc w:val="left"/>
      <w:pPr>
        <w:ind w:left="3600" w:hanging="360"/>
      </w:pPr>
      <w:rPr>
        <w:rFonts w:ascii="Wingdings" w:hAnsi="Wingdings" w:hint="default"/>
      </w:rPr>
    </w:lvl>
    <w:lvl w:ilvl="3" w:tplc="14090001" w:tentative="1">
      <w:start w:val="1"/>
      <w:numFmt w:val="bullet"/>
      <w:lvlText w:val=""/>
      <w:lvlJc w:val="left"/>
      <w:pPr>
        <w:ind w:left="4320" w:hanging="360"/>
      </w:pPr>
      <w:rPr>
        <w:rFonts w:ascii="Symbol" w:hAnsi="Symbol" w:hint="default"/>
      </w:rPr>
    </w:lvl>
    <w:lvl w:ilvl="4" w:tplc="14090003" w:tentative="1">
      <w:start w:val="1"/>
      <w:numFmt w:val="bullet"/>
      <w:lvlText w:val="o"/>
      <w:lvlJc w:val="left"/>
      <w:pPr>
        <w:ind w:left="5040" w:hanging="360"/>
      </w:pPr>
      <w:rPr>
        <w:rFonts w:ascii="Courier New" w:hAnsi="Courier New" w:cs="Courier New" w:hint="default"/>
      </w:rPr>
    </w:lvl>
    <w:lvl w:ilvl="5" w:tplc="14090005" w:tentative="1">
      <w:start w:val="1"/>
      <w:numFmt w:val="bullet"/>
      <w:lvlText w:val=""/>
      <w:lvlJc w:val="left"/>
      <w:pPr>
        <w:ind w:left="5760" w:hanging="360"/>
      </w:pPr>
      <w:rPr>
        <w:rFonts w:ascii="Wingdings" w:hAnsi="Wingdings" w:hint="default"/>
      </w:rPr>
    </w:lvl>
    <w:lvl w:ilvl="6" w:tplc="14090001" w:tentative="1">
      <w:start w:val="1"/>
      <w:numFmt w:val="bullet"/>
      <w:lvlText w:val=""/>
      <w:lvlJc w:val="left"/>
      <w:pPr>
        <w:ind w:left="6480" w:hanging="360"/>
      </w:pPr>
      <w:rPr>
        <w:rFonts w:ascii="Symbol" w:hAnsi="Symbol" w:hint="default"/>
      </w:rPr>
    </w:lvl>
    <w:lvl w:ilvl="7" w:tplc="14090003" w:tentative="1">
      <w:start w:val="1"/>
      <w:numFmt w:val="bullet"/>
      <w:lvlText w:val="o"/>
      <w:lvlJc w:val="left"/>
      <w:pPr>
        <w:ind w:left="7200" w:hanging="360"/>
      </w:pPr>
      <w:rPr>
        <w:rFonts w:ascii="Courier New" w:hAnsi="Courier New" w:cs="Courier New" w:hint="default"/>
      </w:rPr>
    </w:lvl>
    <w:lvl w:ilvl="8" w:tplc="14090005" w:tentative="1">
      <w:start w:val="1"/>
      <w:numFmt w:val="bullet"/>
      <w:lvlText w:val=""/>
      <w:lvlJc w:val="left"/>
      <w:pPr>
        <w:ind w:left="7920" w:hanging="360"/>
      </w:pPr>
      <w:rPr>
        <w:rFonts w:ascii="Wingdings" w:hAnsi="Wingdings" w:hint="default"/>
      </w:rPr>
    </w:lvl>
  </w:abstractNum>
  <w:abstractNum w:abstractNumId="10" w15:restartNumberingAfterBreak="0">
    <w:nsid w:val="409D76EF"/>
    <w:multiLevelType w:val="hybridMultilevel"/>
    <w:tmpl w:val="12B6190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599D3116"/>
    <w:multiLevelType w:val="multilevel"/>
    <w:tmpl w:val="F558B684"/>
    <w:lvl w:ilvl="0">
      <w:start w:val="1"/>
      <w:numFmt w:val="bullet"/>
      <w:pStyle w:val="BulletPoints"/>
      <w:lvlText w:val=""/>
      <w:lvlJc w:val="left"/>
      <w:pPr>
        <w:tabs>
          <w:tab w:val="num" w:pos="4320"/>
        </w:tabs>
        <w:ind w:left="4320" w:hanging="72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4961"/>
        </w:tabs>
        <w:ind w:left="4961" w:hanging="641"/>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5528"/>
        </w:tabs>
        <w:ind w:left="5528" w:hanging="567"/>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6095"/>
        </w:tabs>
        <w:ind w:left="6095" w:hanging="567"/>
      </w:pPr>
      <w:rPr>
        <w:rFonts w:ascii="Symbol" w:hAnsi="Symbol" w:hint="default"/>
        <w:b w:val="0"/>
        <w:i w:val="0"/>
        <w:sz w:val="16"/>
      </w:rPr>
    </w:lvl>
    <w:lvl w:ilvl="4">
      <w:start w:val="1"/>
      <w:numFmt w:val="bullet"/>
      <w:lvlText w:val="o"/>
      <w:lvlJc w:val="left"/>
      <w:pPr>
        <w:tabs>
          <w:tab w:val="num" w:pos="10800"/>
        </w:tabs>
        <w:ind w:left="10800" w:hanging="360"/>
      </w:pPr>
      <w:rPr>
        <w:rFonts w:ascii="Courier New" w:hAnsi="Courier New" w:hint="default"/>
      </w:rPr>
    </w:lvl>
    <w:lvl w:ilvl="5">
      <w:start w:val="1"/>
      <w:numFmt w:val="bullet"/>
      <w:lvlText w:val=""/>
      <w:lvlJc w:val="left"/>
      <w:pPr>
        <w:tabs>
          <w:tab w:val="num" w:pos="11520"/>
        </w:tabs>
        <w:ind w:left="11520" w:hanging="360"/>
      </w:pPr>
      <w:rPr>
        <w:rFonts w:ascii="Wingdings" w:hAnsi="Wingdings" w:hint="default"/>
      </w:rPr>
    </w:lvl>
    <w:lvl w:ilvl="6">
      <w:start w:val="1"/>
      <w:numFmt w:val="bullet"/>
      <w:lvlText w:val=""/>
      <w:lvlJc w:val="left"/>
      <w:pPr>
        <w:tabs>
          <w:tab w:val="num" w:pos="12240"/>
        </w:tabs>
        <w:ind w:left="12240" w:hanging="360"/>
      </w:pPr>
      <w:rPr>
        <w:rFonts w:ascii="Symbol" w:hAnsi="Symbol" w:hint="default"/>
      </w:rPr>
    </w:lvl>
    <w:lvl w:ilvl="7">
      <w:start w:val="1"/>
      <w:numFmt w:val="bullet"/>
      <w:lvlText w:val="o"/>
      <w:lvlJc w:val="left"/>
      <w:pPr>
        <w:tabs>
          <w:tab w:val="num" w:pos="12960"/>
        </w:tabs>
        <w:ind w:left="12960" w:hanging="360"/>
      </w:pPr>
      <w:rPr>
        <w:rFonts w:ascii="Courier New" w:hAnsi="Courier New" w:hint="default"/>
      </w:rPr>
    </w:lvl>
    <w:lvl w:ilvl="8">
      <w:start w:val="1"/>
      <w:numFmt w:val="bullet"/>
      <w:lvlText w:val=""/>
      <w:lvlJc w:val="left"/>
      <w:pPr>
        <w:tabs>
          <w:tab w:val="num" w:pos="13680"/>
        </w:tabs>
        <w:ind w:left="13680" w:hanging="360"/>
      </w:pPr>
      <w:rPr>
        <w:rFonts w:ascii="Wingdings" w:hAnsi="Wingdings" w:hint="default"/>
      </w:rPr>
    </w:lvl>
  </w:abstractNum>
  <w:abstractNum w:abstractNumId="12" w15:restartNumberingAfterBreak="0">
    <w:nsid w:val="5F4818AE"/>
    <w:multiLevelType w:val="singleLevel"/>
    <w:tmpl w:val="B854F092"/>
    <w:lvl w:ilvl="0">
      <w:start w:val="1"/>
      <w:numFmt w:val="bullet"/>
      <w:pStyle w:val="BulletText1"/>
      <w:lvlText w:val=""/>
      <w:lvlJc w:val="left"/>
      <w:pPr>
        <w:tabs>
          <w:tab w:val="num" w:pos="397"/>
        </w:tabs>
        <w:ind w:left="397" w:hanging="397"/>
      </w:pPr>
      <w:rPr>
        <w:rFonts w:ascii="Symbol" w:hAnsi="Symbol" w:hint="default"/>
        <w:color w:val="008080"/>
      </w:rPr>
    </w:lvl>
  </w:abstractNum>
  <w:abstractNum w:abstractNumId="13" w15:restartNumberingAfterBreak="0">
    <w:nsid w:val="69984AD2"/>
    <w:multiLevelType w:val="hybridMultilevel"/>
    <w:tmpl w:val="3BA0F7D2"/>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4" w15:restartNumberingAfterBreak="0">
    <w:nsid w:val="73DB5B41"/>
    <w:multiLevelType w:val="hybridMultilevel"/>
    <w:tmpl w:val="0FAEE5A8"/>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7D5152EF"/>
    <w:multiLevelType w:val="hybridMultilevel"/>
    <w:tmpl w:val="368E3F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DB56409"/>
    <w:multiLevelType w:val="multilevel"/>
    <w:tmpl w:val="0AEA1B48"/>
    <w:lvl w:ilvl="0">
      <w:start w:val="1"/>
      <w:numFmt w:val="none"/>
      <w:lvlText w:val=""/>
      <w:legacy w:legacy="1" w:legacySpace="0" w:legacyIndent="0"/>
      <w:lvlJc w:val="left"/>
    </w:lvl>
    <w:lvl w:ilvl="1">
      <w:start w:val="1"/>
      <w:numFmt w:val="decimal"/>
      <w:lvlText w:val="%2."/>
      <w:lvlJc w:val="left"/>
      <w:pPr>
        <w:tabs>
          <w:tab w:val="num" w:pos="360"/>
        </w:tabs>
        <w:ind w:left="360" w:hanging="360"/>
      </w:pPr>
      <w:rPr>
        <w:rFonts w:hint="default"/>
      </w:rPr>
    </w:lvl>
    <w:lvl w:ilvl="2">
      <w:start w:val="1"/>
      <w:numFmt w:val="lowerLetter"/>
      <w:lvlText w:val="%3"/>
      <w:legacy w:legacy="1" w:legacySpace="0" w:legacyIndent="709"/>
      <w:lvlJc w:val="left"/>
      <w:pPr>
        <w:ind w:left="709" w:hanging="709"/>
      </w:pPr>
    </w:lvl>
    <w:lvl w:ilvl="3">
      <w:start w:val="1"/>
      <w:numFmt w:val="lowerRoman"/>
      <w:lvlText w:val="%4"/>
      <w:legacy w:legacy="1" w:legacySpace="0" w:legacyIndent="709"/>
      <w:lvlJc w:val="left"/>
      <w:pPr>
        <w:ind w:left="1418" w:hanging="709"/>
      </w:pPr>
    </w:lvl>
    <w:lvl w:ilvl="4">
      <w:start w:val="1"/>
      <w:numFmt w:val="none"/>
      <w:lvlText w:val="·"/>
      <w:legacy w:legacy="1" w:legacySpace="0" w:legacyIndent="709"/>
      <w:lvlJc w:val="left"/>
      <w:pPr>
        <w:ind w:left="2127" w:hanging="709"/>
      </w:pPr>
    </w:lvl>
    <w:lvl w:ilvl="5">
      <w:start w:val="1"/>
      <w:numFmt w:val="none"/>
      <w:lvlText w:val="-"/>
      <w:legacy w:legacy="1" w:legacySpace="0" w:legacyIndent="709"/>
      <w:lvlJc w:val="left"/>
      <w:pPr>
        <w:ind w:left="2836" w:hanging="709"/>
      </w:pPr>
    </w:lvl>
    <w:lvl w:ilvl="6">
      <w:start w:val="1"/>
      <w:numFmt w:val="none"/>
      <w:lvlText w:val=""/>
      <w:legacy w:legacy="1" w:legacySpace="0" w:legacyIndent="709"/>
      <w:lvlJc w:val="left"/>
      <w:pPr>
        <w:ind w:left="3545" w:hanging="709"/>
      </w:pPr>
    </w:lvl>
    <w:lvl w:ilvl="7">
      <w:start w:val="1"/>
      <w:numFmt w:val="none"/>
      <w:lvlText w:val=""/>
      <w:legacy w:legacy="1" w:legacySpace="0" w:legacyIndent="709"/>
      <w:lvlJc w:val="left"/>
      <w:pPr>
        <w:ind w:left="4254" w:hanging="709"/>
      </w:pPr>
    </w:lvl>
    <w:lvl w:ilvl="8">
      <w:start w:val="1"/>
      <w:numFmt w:val="none"/>
      <w:lvlText w:val=""/>
      <w:legacy w:legacy="1" w:legacySpace="0" w:legacyIndent="709"/>
      <w:lvlJc w:val="left"/>
      <w:pPr>
        <w:ind w:left="4963" w:hanging="709"/>
      </w:pPr>
    </w:lvl>
  </w:abstractNum>
  <w:abstractNum w:abstractNumId="17" w15:restartNumberingAfterBreak="0">
    <w:nsid w:val="7DD81B5D"/>
    <w:multiLevelType w:val="hybridMultilevel"/>
    <w:tmpl w:val="F54AE06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628393281">
    <w:abstractNumId w:val="12"/>
  </w:num>
  <w:num w:numId="2" w16cid:durableId="1127118208">
    <w:abstractNumId w:val="12"/>
  </w:num>
  <w:num w:numId="3" w16cid:durableId="722751457">
    <w:abstractNumId w:val="0"/>
    <w:lvlOverride w:ilvl="0">
      <w:lvl w:ilvl="0">
        <w:start w:val="1"/>
        <w:numFmt w:val="bullet"/>
        <w:lvlText w:val="-"/>
        <w:legacy w:legacy="1" w:legacySpace="0" w:legacyIndent="187"/>
        <w:lvlJc w:val="left"/>
        <w:pPr>
          <w:ind w:left="360" w:hanging="187"/>
        </w:pPr>
        <w:rPr>
          <w:rFonts w:ascii="Times New Roman" w:hAnsi="Times New Roman" w:hint="default"/>
          <w:sz w:val="24"/>
        </w:rPr>
      </w:lvl>
    </w:lvlOverride>
  </w:num>
  <w:num w:numId="4" w16cid:durableId="1789665280">
    <w:abstractNumId w:val="8"/>
  </w:num>
  <w:num w:numId="5" w16cid:durableId="1565530632">
    <w:abstractNumId w:val="0"/>
    <w:lvlOverride w:ilvl="0">
      <w:lvl w:ilvl="0">
        <w:start w:val="1"/>
        <w:numFmt w:val="bullet"/>
        <w:lvlText w:val="·"/>
        <w:legacy w:legacy="1" w:legacySpace="0" w:legacyIndent="187"/>
        <w:lvlJc w:val="left"/>
        <w:pPr>
          <w:ind w:left="360" w:hanging="187"/>
        </w:pPr>
        <w:rPr>
          <w:rFonts w:ascii="Symbol" w:hAnsi="Symbol" w:hint="default"/>
          <w:sz w:val="20"/>
        </w:rPr>
      </w:lvl>
    </w:lvlOverride>
  </w:num>
  <w:num w:numId="6" w16cid:durableId="1132139141">
    <w:abstractNumId w:val="0"/>
    <w:lvlOverride w:ilvl="0">
      <w:lvl w:ilvl="0">
        <w:start w:val="1"/>
        <w:numFmt w:val="bullet"/>
        <w:lvlText w:val="·"/>
        <w:legacy w:legacy="1" w:legacySpace="0" w:legacyIndent="187"/>
        <w:lvlJc w:val="left"/>
        <w:pPr>
          <w:ind w:left="360" w:hanging="187"/>
        </w:pPr>
        <w:rPr>
          <w:rFonts w:ascii="Arial" w:hAnsi="Arial" w:hint="default"/>
          <w:sz w:val="20"/>
        </w:rPr>
      </w:lvl>
    </w:lvlOverride>
  </w:num>
  <w:num w:numId="7" w16cid:durableId="978002402">
    <w:abstractNumId w:val="5"/>
  </w:num>
  <w:num w:numId="8" w16cid:durableId="1597327647">
    <w:abstractNumId w:val="7"/>
  </w:num>
  <w:num w:numId="9" w16cid:durableId="39285226">
    <w:abstractNumId w:val="7"/>
  </w:num>
  <w:num w:numId="10" w16cid:durableId="616184784">
    <w:abstractNumId w:val="11"/>
  </w:num>
  <w:num w:numId="11" w16cid:durableId="1418206731">
    <w:abstractNumId w:val="16"/>
  </w:num>
  <w:num w:numId="12" w16cid:durableId="1120684704">
    <w:abstractNumId w:val="11"/>
  </w:num>
  <w:num w:numId="13" w16cid:durableId="105854689">
    <w:abstractNumId w:val="11"/>
  </w:num>
  <w:num w:numId="14" w16cid:durableId="1345746380">
    <w:abstractNumId w:val="13"/>
  </w:num>
  <w:num w:numId="15" w16cid:durableId="1291666831">
    <w:abstractNumId w:val="9"/>
  </w:num>
  <w:num w:numId="16" w16cid:durableId="1933005826">
    <w:abstractNumId w:val="11"/>
  </w:num>
  <w:num w:numId="17" w16cid:durableId="389691328">
    <w:abstractNumId w:val="1"/>
  </w:num>
  <w:num w:numId="18" w16cid:durableId="2071490570">
    <w:abstractNumId w:val="14"/>
  </w:num>
  <w:num w:numId="19" w16cid:durableId="894854224">
    <w:abstractNumId w:val="6"/>
  </w:num>
  <w:num w:numId="20" w16cid:durableId="1534922000">
    <w:abstractNumId w:val="10"/>
  </w:num>
  <w:num w:numId="21" w16cid:durableId="520358308">
    <w:abstractNumId w:val="17"/>
  </w:num>
  <w:num w:numId="22" w16cid:durableId="1767917875">
    <w:abstractNumId w:val="15"/>
  </w:num>
  <w:num w:numId="23" w16cid:durableId="1711876094">
    <w:abstractNumId w:val="3"/>
  </w:num>
  <w:num w:numId="24" w16cid:durableId="2123182016">
    <w:abstractNumId w:val="2"/>
  </w:num>
  <w:num w:numId="25" w16cid:durableId="365057370">
    <w:abstractNumId w:val="11"/>
  </w:num>
  <w:num w:numId="26" w16cid:durableId="462236937">
    <w:abstractNumId w:val="11"/>
  </w:num>
  <w:num w:numId="27" w16cid:durableId="643782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zNDUzMTY0MjEyNzBX0lEKTi0uzszPAymwrAUAZHPU9SwAAAA="/>
    <w:docVar w:name="dvFooter" w:val="2641964v1"/>
    <w:docVar w:name="paperpile-doc-id" w:val="L638Z985O376S199"/>
    <w:docVar w:name="paperpile-doc-name" w:val="Policy Brief Template_.docx"/>
  </w:docVars>
  <w:rsids>
    <w:rsidRoot w:val="00DD496C"/>
    <w:rsid w:val="00000712"/>
    <w:rsid w:val="00006F04"/>
    <w:rsid w:val="000222DB"/>
    <w:rsid w:val="000254C9"/>
    <w:rsid w:val="00030BC4"/>
    <w:rsid w:val="00036305"/>
    <w:rsid w:val="0004325F"/>
    <w:rsid w:val="00043E86"/>
    <w:rsid w:val="00045331"/>
    <w:rsid w:val="00047CA5"/>
    <w:rsid w:val="00055EF1"/>
    <w:rsid w:val="00057DE3"/>
    <w:rsid w:val="00070DD4"/>
    <w:rsid w:val="00083575"/>
    <w:rsid w:val="00090811"/>
    <w:rsid w:val="000924FF"/>
    <w:rsid w:val="00092CC5"/>
    <w:rsid w:val="00093F56"/>
    <w:rsid w:val="00096C50"/>
    <w:rsid w:val="000B1186"/>
    <w:rsid w:val="000C1E52"/>
    <w:rsid w:val="000C6855"/>
    <w:rsid w:val="000E4059"/>
    <w:rsid w:val="00102E2E"/>
    <w:rsid w:val="001161FF"/>
    <w:rsid w:val="00117A0D"/>
    <w:rsid w:val="00127EF5"/>
    <w:rsid w:val="00131BA0"/>
    <w:rsid w:val="00135366"/>
    <w:rsid w:val="001417BB"/>
    <w:rsid w:val="00165486"/>
    <w:rsid w:val="00197303"/>
    <w:rsid w:val="001B44AE"/>
    <w:rsid w:val="001C3A5C"/>
    <w:rsid w:val="001F200D"/>
    <w:rsid w:val="00213EB4"/>
    <w:rsid w:val="0024108F"/>
    <w:rsid w:val="00244A5F"/>
    <w:rsid w:val="00247F34"/>
    <w:rsid w:val="002505FD"/>
    <w:rsid w:val="00260726"/>
    <w:rsid w:val="00263F56"/>
    <w:rsid w:val="00272B48"/>
    <w:rsid w:val="0027709C"/>
    <w:rsid w:val="002B30C9"/>
    <w:rsid w:val="002C70F6"/>
    <w:rsid w:val="002C7FC3"/>
    <w:rsid w:val="002D1DBA"/>
    <w:rsid w:val="002D4231"/>
    <w:rsid w:val="002D62EC"/>
    <w:rsid w:val="00306641"/>
    <w:rsid w:val="003139A2"/>
    <w:rsid w:val="00326B32"/>
    <w:rsid w:val="003275F9"/>
    <w:rsid w:val="003306FA"/>
    <w:rsid w:val="00334000"/>
    <w:rsid w:val="00340EF9"/>
    <w:rsid w:val="00347848"/>
    <w:rsid w:val="0035211C"/>
    <w:rsid w:val="00365C27"/>
    <w:rsid w:val="00370301"/>
    <w:rsid w:val="00371B93"/>
    <w:rsid w:val="00383BCD"/>
    <w:rsid w:val="00386C7D"/>
    <w:rsid w:val="003879C6"/>
    <w:rsid w:val="00390607"/>
    <w:rsid w:val="0039436B"/>
    <w:rsid w:val="003A53C4"/>
    <w:rsid w:val="003D6913"/>
    <w:rsid w:val="00416D61"/>
    <w:rsid w:val="00427BBB"/>
    <w:rsid w:val="00432F28"/>
    <w:rsid w:val="00433D6B"/>
    <w:rsid w:val="00435B05"/>
    <w:rsid w:val="0043715A"/>
    <w:rsid w:val="004413A5"/>
    <w:rsid w:val="00450B0C"/>
    <w:rsid w:val="0046358C"/>
    <w:rsid w:val="00473FD8"/>
    <w:rsid w:val="004806D7"/>
    <w:rsid w:val="00484853"/>
    <w:rsid w:val="0049664E"/>
    <w:rsid w:val="00497F44"/>
    <w:rsid w:val="004B5356"/>
    <w:rsid w:val="004B7978"/>
    <w:rsid w:val="004D0DD7"/>
    <w:rsid w:val="004E44BD"/>
    <w:rsid w:val="004F0674"/>
    <w:rsid w:val="004F283E"/>
    <w:rsid w:val="00504226"/>
    <w:rsid w:val="00511A84"/>
    <w:rsid w:val="0054073F"/>
    <w:rsid w:val="0054302F"/>
    <w:rsid w:val="00560053"/>
    <w:rsid w:val="005623E3"/>
    <w:rsid w:val="00574C15"/>
    <w:rsid w:val="005765A5"/>
    <w:rsid w:val="00581AD2"/>
    <w:rsid w:val="00594E0D"/>
    <w:rsid w:val="005D18DF"/>
    <w:rsid w:val="005D37FC"/>
    <w:rsid w:val="005D4958"/>
    <w:rsid w:val="005F66B9"/>
    <w:rsid w:val="0060160A"/>
    <w:rsid w:val="006077B1"/>
    <w:rsid w:val="0062361B"/>
    <w:rsid w:val="006344A5"/>
    <w:rsid w:val="00634917"/>
    <w:rsid w:val="006356E9"/>
    <w:rsid w:val="00642B97"/>
    <w:rsid w:val="00646216"/>
    <w:rsid w:val="00676327"/>
    <w:rsid w:val="00677C77"/>
    <w:rsid w:val="006859B9"/>
    <w:rsid w:val="00685A13"/>
    <w:rsid w:val="006A03B1"/>
    <w:rsid w:val="006A1EA5"/>
    <w:rsid w:val="006B1CA0"/>
    <w:rsid w:val="006D384D"/>
    <w:rsid w:val="006E63B2"/>
    <w:rsid w:val="006F3B38"/>
    <w:rsid w:val="00716971"/>
    <w:rsid w:val="00745A29"/>
    <w:rsid w:val="00745C41"/>
    <w:rsid w:val="007474E7"/>
    <w:rsid w:val="00757E32"/>
    <w:rsid w:val="00761556"/>
    <w:rsid w:val="007626B3"/>
    <w:rsid w:val="00772D43"/>
    <w:rsid w:val="00774CA4"/>
    <w:rsid w:val="00785559"/>
    <w:rsid w:val="007A110D"/>
    <w:rsid w:val="007F49F4"/>
    <w:rsid w:val="008016E1"/>
    <w:rsid w:val="00815A04"/>
    <w:rsid w:val="00817348"/>
    <w:rsid w:val="00831993"/>
    <w:rsid w:val="00831C12"/>
    <w:rsid w:val="00840873"/>
    <w:rsid w:val="00862AEC"/>
    <w:rsid w:val="008726E2"/>
    <w:rsid w:val="00891FD1"/>
    <w:rsid w:val="008C3966"/>
    <w:rsid w:val="008F362D"/>
    <w:rsid w:val="00902EA0"/>
    <w:rsid w:val="00921B62"/>
    <w:rsid w:val="00921C97"/>
    <w:rsid w:val="0093277B"/>
    <w:rsid w:val="00943751"/>
    <w:rsid w:val="0094536D"/>
    <w:rsid w:val="009618AF"/>
    <w:rsid w:val="00980E39"/>
    <w:rsid w:val="00985EA7"/>
    <w:rsid w:val="009912BB"/>
    <w:rsid w:val="00992E76"/>
    <w:rsid w:val="00994FB7"/>
    <w:rsid w:val="00997ED7"/>
    <w:rsid w:val="009A62E4"/>
    <w:rsid w:val="009A69CC"/>
    <w:rsid w:val="009B098C"/>
    <w:rsid w:val="009C380B"/>
    <w:rsid w:val="009E4D13"/>
    <w:rsid w:val="009F10E2"/>
    <w:rsid w:val="00A052F7"/>
    <w:rsid w:val="00A06043"/>
    <w:rsid w:val="00A13FA2"/>
    <w:rsid w:val="00A21221"/>
    <w:rsid w:val="00A25B4F"/>
    <w:rsid w:val="00A26896"/>
    <w:rsid w:val="00A40973"/>
    <w:rsid w:val="00A44B66"/>
    <w:rsid w:val="00A477AD"/>
    <w:rsid w:val="00A62056"/>
    <w:rsid w:val="00A66439"/>
    <w:rsid w:val="00A770F8"/>
    <w:rsid w:val="00A870D1"/>
    <w:rsid w:val="00A91290"/>
    <w:rsid w:val="00A96BBA"/>
    <w:rsid w:val="00AA47A0"/>
    <w:rsid w:val="00AA704D"/>
    <w:rsid w:val="00AB2363"/>
    <w:rsid w:val="00AC3B1B"/>
    <w:rsid w:val="00AC4EA9"/>
    <w:rsid w:val="00AC79D2"/>
    <w:rsid w:val="00AE14F6"/>
    <w:rsid w:val="00AE7F92"/>
    <w:rsid w:val="00AF3273"/>
    <w:rsid w:val="00B106D7"/>
    <w:rsid w:val="00B1578B"/>
    <w:rsid w:val="00B207D1"/>
    <w:rsid w:val="00B2151E"/>
    <w:rsid w:val="00B2230B"/>
    <w:rsid w:val="00B3724E"/>
    <w:rsid w:val="00B41AE5"/>
    <w:rsid w:val="00B45DA4"/>
    <w:rsid w:val="00B5590D"/>
    <w:rsid w:val="00B657E6"/>
    <w:rsid w:val="00B66FEE"/>
    <w:rsid w:val="00B704AF"/>
    <w:rsid w:val="00B80B23"/>
    <w:rsid w:val="00B90C33"/>
    <w:rsid w:val="00BA1856"/>
    <w:rsid w:val="00BB0314"/>
    <w:rsid w:val="00BC6007"/>
    <w:rsid w:val="00BC7B5B"/>
    <w:rsid w:val="00BE573B"/>
    <w:rsid w:val="00C035A9"/>
    <w:rsid w:val="00C07AC7"/>
    <w:rsid w:val="00C46F1D"/>
    <w:rsid w:val="00C50DB9"/>
    <w:rsid w:val="00C60DCC"/>
    <w:rsid w:val="00C7068B"/>
    <w:rsid w:val="00C84BBF"/>
    <w:rsid w:val="00C90579"/>
    <w:rsid w:val="00C96608"/>
    <w:rsid w:val="00CA77F6"/>
    <w:rsid w:val="00CB6449"/>
    <w:rsid w:val="00CD1433"/>
    <w:rsid w:val="00CE28D9"/>
    <w:rsid w:val="00CE2E75"/>
    <w:rsid w:val="00CE656F"/>
    <w:rsid w:val="00CF05B4"/>
    <w:rsid w:val="00D01590"/>
    <w:rsid w:val="00D02F72"/>
    <w:rsid w:val="00D05401"/>
    <w:rsid w:val="00D0554C"/>
    <w:rsid w:val="00D164D5"/>
    <w:rsid w:val="00D47C34"/>
    <w:rsid w:val="00D47CED"/>
    <w:rsid w:val="00D6312A"/>
    <w:rsid w:val="00D865C7"/>
    <w:rsid w:val="00D87B25"/>
    <w:rsid w:val="00DB73AC"/>
    <w:rsid w:val="00DC7314"/>
    <w:rsid w:val="00DD2291"/>
    <w:rsid w:val="00DD496C"/>
    <w:rsid w:val="00DE19B2"/>
    <w:rsid w:val="00DF7381"/>
    <w:rsid w:val="00E1343C"/>
    <w:rsid w:val="00E14346"/>
    <w:rsid w:val="00E15336"/>
    <w:rsid w:val="00E157BB"/>
    <w:rsid w:val="00E527BC"/>
    <w:rsid w:val="00E575F0"/>
    <w:rsid w:val="00E75BAA"/>
    <w:rsid w:val="00EA1FA9"/>
    <w:rsid w:val="00EA6E1E"/>
    <w:rsid w:val="00EB1A13"/>
    <w:rsid w:val="00EB6B3E"/>
    <w:rsid w:val="00ED4358"/>
    <w:rsid w:val="00F07961"/>
    <w:rsid w:val="00F20EC1"/>
    <w:rsid w:val="00F3682C"/>
    <w:rsid w:val="00F375C1"/>
    <w:rsid w:val="00F41734"/>
    <w:rsid w:val="00F42E64"/>
    <w:rsid w:val="00F55AC3"/>
    <w:rsid w:val="00F57A3C"/>
    <w:rsid w:val="00F91137"/>
    <w:rsid w:val="00F91BDC"/>
    <w:rsid w:val="00F97284"/>
    <w:rsid w:val="00FB2AB3"/>
    <w:rsid w:val="00FC5D02"/>
    <w:rsid w:val="00FF0AB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93454"/>
  <w15:docId w15:val="{19863F28-C8CC-423E-8284-8FB9EA9CC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2"/>
      <w:lang w:eastAsia="en-US"/>
    </w:rPr>
  </w:style>
  <w:style w:type="paragraph" w:styleId="Heading1">
    <w:name w:val="heading 1"/>
    <w:aliases w:val="Part"/>
    <w:basedOn w:val="Normal"/>
    <w:next w:val="Heading2"/>
    <w:qFormat/>
    <w:pPr>
      <w:spacing w:after="240"/>
      <w:jc w:val="center"/>
      <w:outlineLvl w:val="0"/>
    </w:pPr>
    <w:rPr>
      <w:rFonts w:ascii="Arial" w:hAnsi="Arial"/>
      <w:b/>
      <w:color w:val="5F5F5F"/>
      <w:sz w:val="32"/>
    </w:rPr>
  </w:style>
  <w:style w:type="paragraph" w:styleId="Heading2">
    <w:name w:val="heading 2"/>
    <w:aliases w:val="Chapter Title"/>
    <w:basedOn w:val="Heading4"/>
    <w:next w:val="Heading4"/>
    <w:qFormat/>
    <w:rsid w:val="00F20EC1"/>
    <w:pPr>
      <w:outlineLvl w:val="1"/>
    </w:pPr>
  </w:style>
  <w:style w:type="paragraph" w:styleId="Heading3">
    <w:name w:val="heading 3"/>
    <w:aliases w:val="Section"/>
    <w:basedOn w:val="Normal"/>
    <w:next w:val="Heading4"/>
    <w:qFormat/>
    <w:pPr>
      <w:spacing w:after="240"/>
      <w:jc w:val="center"/>
      <w:outlineLvl w:val="2"/>
    </w:pPr>
    <w:rPr>
      <w:rFonts w:ascii="Arial" w:hAnsi="Arial"/>
      <w:b/>
      <w:color w:val="006600"/>
      <w:sz w:val="32"/>
    </w:rPr>
  </w:style>
  <w:style w:type="paragraph" w:styleId="Heading4">
    <w:name w:val="heading 4"/>
    <w:aliases w:val="Map Title"/>
    <w:basedOn w:val="Normal"/>
    <w:next w:val="Normal"/>
    <w:qFormat/>
    <w:pPr>
      <w:spacing w:after="240"/>
      <w:outlineLvl w:val="3"/>
    </w:pPr>
    <w:rPr>
      <w:rFonts w:ascii="Arial" w:hAnsi="Arial"/>
      <w:b/>
      <w:color w:val="006600"/>
      <w:sz w:val="32"/>
    </w:rPr>
  </w:style>
  <w:style w:type="paragraph" w:styleId="Heading5">
    <w:name w:val="heading 5"/>
    <w:aliases w:val="Block Label"/>
    <w:basedOn w:val="Normal"/>
    <w:next w:val="Normal"/>
    <w:qFormat/>
    <w:pPr>
      <w:outlineLvl w:val="4"/>
    </w:pPr>
    <w:rPr>
      <w:rFonts w:ascii="Arial" w:hAnsi="Arial"/>
      <w:b/>
      <w:color w:val="000080"/>
    </w:rPr>
  </w:style>
  <w:style w:type="paragraph" w:styleId="Heading6">
    <w:name w:val="heading 6"/>
    <w:basedOn w:val="Normal"/>
    <w:next w:val="Normal"/>
    <w:qFormat/>
    <w:pPr>
      <w:spacing w:before="240" w:after="60"/>
      <w:outlineLvl w:val="5"/>
    </w:pPr>
    <w:rPr>
      <w:i/>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US" w:eastAsia="en-US"/>
    </w:rPr>
  </w:style>
  <w:style w:type="paragraph" w:customStyle="1" w:styleId="BlockLine">
    <w:name w:val="Block Line"/>
    <w:basedOn w:val="Normal"/>
    <w:next w:val="Normal"/>
    <w:pPr>
      <w:pBdr>
        <w:top w:val="single" w:sz="6" w:space="1" w:color="008080"/>
        <w:between w:val="single" w:sz="6" w:space="1" w:color="auto"/>
      </w:pBdr>
      <w:spacing w:before="240"/>
      <w:ind w:left="1700"/>
    </w:pPr>
  </w:style>
  <w:style w:type="paragraph" w:styleId="BlockText">
    <w:name w:val="Block Text"/>
    <w:basedOn w:val="Normal"/>
  </w:style>
  <w:style w:type="paragraph" w:customStyle="1" w:styleId="BulletText1">
    <w:name w:val="Bullet Text 1"/>
    <w:basedOn w:val="Normal"/>
    <w:pPr>
      <w:numPr>
        <w:numId w:val="2"/>
      </w:numPr>
      <w:tabs>
        <w:tab w:val="clear" w:pos="397"/>
      </w:tabs>
    </w:pPr>
  </w:style>
  <w:style w:type="paragraph" w:customStyle="1" w:styleId="BulletText2">
    <w:name w:val="Bullet Text 2"/>
    <w:basedOn w:val="BulletText1"/>
    <w:pPr>
      <w:numPr>
        <w:numId w:val="9"/>
      </w:numPr>
      <w:spacing w:before="120"/>
    </w:pPr>
  </w:style>
  <w:style w:type="paragraph" w:customStyle="1" w:styleId="ContinuedOnNextPa">
    <w:name w:val="Continued On Next Pa"/>
    <w:basedOn w:val="Normal"/>
    <w:next w:val="Normal"/>
    <w:pPr>
      <w:pBdr>
        <w:top w:val="single" w:sz="6" w:space="1" w:color="008080"/>
        <w:between w:val="single" w:sz="6" w:space="1" w:color="auto"/>
      </w:pBdr>
      <w:ind w:left="1700"/>
      <w:jc w:val="right"/>
    </w:pPr>
    <w:rPr>
      <w:rFonts w:ascii="Times New Roman" w:hAnsi="Times New Roman"/>
      <w:i/>
      <w:sz w:val="20"/>
    </w:rPr>
  </w:style>
  <w:style w:type="paragraph" w:customStyle="1" w:styleId="ContinuedTableLabe">
    <w:name w:val="Continued Table Labe"/>
    <w:basedOn w:val="Normal"/>
    <w:rPr>
      <w:rFonts w:ascii="Arial" w:hAnsi="Arial"/>
      <w:color w:val="000080"/>
    </w:rPr>
  </w:style>
  <w:style w:type="paragraph" w:customStyle="1" w:styleId="MapTitleContinued">
    <w:name w:val="Map Title. Continued"/>
    <w:basedOn w:val="Normal"/>
    <w:pPr>
      <w:spacing w:after="240"/>
    </w:pPr>
    <w:rPr>
      <w:rFonts w:ascii="Arial" w:hAnsi="Arial"/>
      <w:b/>
      <w:color w:val="006600"/>
      <w:sz w:val="32"/>
    </w:rPr>
  </w:style>
  <w:style w:type="paragraph" w:customStyle="1" w:styleId="MemoLine">
    <w:name w:val="Memo Line"/>
    <w:basedOn w:val="BlockLine"/>
    <w:next w:val="Normal"/>
    <w:pPr>
      <w:ind w:left="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TableText">
    <w:name w:val="Table Text"/>
    <w:basedOn w:val="Normal"/>
    <w:pPr>
      <w:spacing w:before="20" w:after="20"/>
    </w:pPr>
  </w:style>
  <w:style w:type="paragraph" w:customStyle="1" w:styleId="NoteText">
    <w:name w:val="Note Text"/>
    <w:basedOn w:val="BlockText"/>
  </w:style>
  <w:style w:type="paragraph" w:customStyle="1" w:styleId="TableHeaderText">
    <w:name w:val="Table Header Text"/>
    <w:basedOn w:val="TableText"/>
    <w:pPr>
      <w:spacing w:before="60" w:after="60"/>
      <w:jc w:val="center"/>
    </w:pPr>
    <w:rPr>
      <w:b/>
      <w:color w:val="006666"/>
    </w:rPr>
  </w:style>
  <w:style w:type="paragraph" w:customStyle="1" w:styleId="EmbeddedText">
    <w:name w:val="Embedded Text"/>
    <w:basedOn w:val="TableText"/>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rFonts w:ascii="Tahoma" w:hAnsi="Tahoma"/>
      <w:color w:val="3333CC"/>
      <w:sz w:val="22"/>
      <w:u w:val="single"/>
    </w:rPr>
  </w:style>
  <w:style w:type="paragraph" w:customStyle="1" w:styleId="BulletText3">
    <w:name w:val="Bullet Text 3"/>
    <w:basedOn w:val="BulletText2"/>
    <w:pPr>
      <w:numPr>
        <w:numId w:val="7"/>
      </w:numPr>
      <w:spacing w:before="60"/>
    </w:pPr>
  </w:style>
  <w:style w:type="character" w:styleId="FollowedHyperlink">
    <w:name w:val="FollowedHyperlink"/>
    <w:rPr>
      <w:rFonts w:ascii="Tahoma" w:hAnsi="Tahoma"/>
      <w:color w:val="339966"/>
      <w:sz w:val="22"/>
      <w:u w:val="single"/>
    </w:rPr>
  </w:style>
  <w:style w:type="paragraph" w:customStyle="1" w:styleId="BulletPoints">
    <w:name w:val="Bullet Points"/>
    <w:basedOn w:val="Normal"/>
    <w:rsid w:val="00386C7D"/>
    <w:pPr>
      <w:numPr>
        <w:numId w:val="10"/>
      </w:numPr>
      <w:overflowPunct w:val="0"/>
      <w:autoSpaceDE w:val="0"/>
      <w:autoSpaceDN w:val="0"/>
      <w:adjustRightInd w:val="0"/>
      <w:spacing w:after="240"/>
      <w:jc w:val="both"/>
      <w:textAlignment w:val="baseline"/>
    </w:pPr>
    <w:rPr>
      <w:rFonts w:ascii="Arial" w:hAnsi="Arial"/>
      <w:sz w:val="24"/>
      <w:lang w:bidi="ar-DZ"/>
    </w:rPr>
  </w:style>
  <w:style w:type="paragraph" w:styleId="BalloonText">
    <w:name w:val="Balloon Text"/>
    <w:basedOn w:val="Normal"/>
    <w:link w:val="BalloonTextChar"/>
    <w:rsid w:val="0094536D"/>
    <w:rPr>
      <w:rFonts w:cs="Tahoma"/>
      <w:sz w:val="16"/>
      <w:szCs w:val="16"/>
    </w:rPr>
  </w:style>
  <w:style w:type="character" w:customStyle="1" w:styleId="BalloonTextChar">
    <w:name w:val="Balloon Text Char"/>
    <w:link w:val="BalloonText"/>
    <w:rsid w:val="0094536D"/>
    <w:rPr>
      <w:rFonts w:ascii="Tahoma" w:hAnsi="Tahoma" w:cs="Tahoma"/>
      <w:sz w:val="16"/>
      <w:szCs w:val="16"/>
      <w:lang w:eastAsia="en-US"/>
    </w:rPr>
  </w:style>
  <w:style w:type="character" w:customStyle="1" w:styleId="HeaderChar">
    <w:name w:val="Header Char"/>
    <w:link w:val="Header"/>
    <w:rsid w:val="004D0DD7"/>
    <w:rPr>
      <w:rFonts w:ascii="Tahoma" w:hAnsi="Tahoma"/>
      <w:sz w:val="22"/>
      <w:lang w:eastAsia="en-US"/>
    </w:rPr>
  </w:style>
  <w:style w:type="paragraph" w:styleId="Revision">
    <w:name w:val="Revision"/>
    <w:hidden/>
    <w:uiPriority w:val="99"/>
    <w:semiHidden/>
    <w:rsid w:val="004D0DD7"/>
    <w:rPr>
      <w:rFonts w:ascii="Tahoma" w:hAnsi="Tahoma"/>
      <w:sz w:val="22"/>
      <w:lang w:eastAsia="en-US"/>
    </w:rPr>
  </w:style>
  <w:style w:type="character" w:styleId="CommentReference">
    <w:name w:val="annotation reference"/>
    <w:rsid w:val="004D0DD7"/>
    <w:rPr>
      <w:sz w:val="16"/>
      <w:szCs w:val="16"/>
    </w:rPr>
  </w:style>
  <w:style w:type="paragraph" w:styleId="CommentText">
    <w:name w:val="annotation text"/>
    <w:basedOn w:val="Normal"/>
    <w:link w:val="CommentTextChar"/>
    <w:rsid w:val="004D0DD7"/>
    <w:rPr>
      <w:sz w:val="20"/>
    </w:rPr>
  </w:style>
  <w:style w:type="character" w:customStyle="1" w:styleId="CommentTextChar">
    <w:name w:val="Comment Text Char"/>
    <w:link w:val="CommentText"/>
    <w:rsid w:val="004D0DD7"/>
    <w:rPr>
      <w:rFonts w:ascii="Tahoma" w:hAnsi="Tahoma"/>
      <w:lang w:eastAsia="en-US"/>
    </w:rPr>
  </w:style>
  <w:style w:type="paragraph" w:styleId="CommentSubject">
    <w:name w:val="annotation subject"/>
    <w:basedOn w:val="CommentText"/>
    <w:next w:val="CommentText"/>
    <w:link w:val="CommentSubjectChar"/>
    <w:rsid w:val="004D0DD7"/>
    <w:rPr>
      <w:b/>
      <w:bCs/>
    </w:rPr>
  </w:style>
  <w:style w:type="character" w:customStyle="1" w:styleId="CommentSubjectChar">
    <w:name w:val="Comment Subject Char"/>
    <w:link w:val="CommentSubject"/>
    <w:rsid w:val="004D0DD7"/>
    <w:rPr>
      <w:rFonts w:ascii="Tahoma" w:hAnsi="Tahoma"/>
      <w:b/>
      <w:bCs/>
      <w:lang w:eastAsia="en-US"/>
    </w:rPr>
  </w:style>
  <w:style w:type="table" w:styleId="TableGrid">
    <w:name w:val="Table Grid"/>
    <w:basedOn w:val="TableNormal"/>
    <w:rsid w:val="00985E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7314"/>
    <w:rPr>
      <w:color w:val="605E5C"/>
      <w:shd w:val="clear" w:color="auto" w:fill="E1DFDD"/>
    </w:rPr>
  </w:style>
  <w:style w:type="character" w:customStyle="1" w:styleId="FooterChar">
    <w:name w:val="Footer Char"/>
    <w:basedOn w:val="DefaultParagraphFont"/>
    <w:link w:val="Footer"/>
    <w:uiPriority w:val="99"/>
    <w:rsid w:val="00F20EC1"/>
    <w:rPr>
      <w:rFonts w:ascii="Tahoma" w:hAnsi="Tahoma"/>
      <w:sz w:val="22"/>
      <w:lang w:eastAsia="en-US"/>
    </w:rPr>
  </w:style>
  <w:style w:type="paragraph" w:styleId="ListParagraph">
    <w:name w:val="List Paragraph"/>
    <w:basedOn w:val="Normal"/>
    <w:uiPriority w:val="34"/>
    <w:qFormat/>
    <w:rsid w:val="005765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doi.org/10.1111/1467-7660.00139" TargetMode="External"/><Relationship Id="rId3" Type="http://schemas.openxmlformats.org/officeDocument/2006/relationships/customXml" Target="../customXml/item3.xml"/><Relationship Id="rId21" Type="http://schemas.openxmlformats.org/officeDocument/2006/relationships/hyperlink" Target="https://stats.gov.ck/tourism-and-migration/"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https://owll.massey.ac.nz/referencing/apa-interactive.php"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doi.org/10.3390/su17031123"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owll.massey.ac.nz/referencing/apa-interactive.php" TargetMode="External"/><Relationship Id="rId32"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owll.massey.ac.nz/referencing/apa-interactive.php" TargetMode="External"/><Relationship Id="rId28" Type="http://schemas.openxmlformats.org/officeDocument/2006/relationships/hyperlink" Target="https://doi.org/10.1016/j.geoforum.2020.03.012" TargetMode="External"/><Relationship Id="rId10" Type="http://schemas.openxmlformats.org/officeDocument/2006/relationships/endnotes" Target="endnotes.xml"/><Relationship Id="rId19" Type="http://schemas.openxmlformats.org/officeDocument/2006/relationships/hyperlink" Target="https://doi.org/10.1016/j.landusepol.2019.02.005" TargetMode="Externa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owll.massey.ac.nz/referencing/apa-interactive.php" TargetMode="External"/><Relationship Id="rId27" Type="http://schemas.openxmlformats.org/officeDocument/2006/relationships/hyperlink" Target="https://www.pacificpsdi.org/assets/Uploads/PSDI-TourismSnapshot-COO.pdf" TargetMode="External"/><Relationship Id="rId30" Type="http://schemas.openxmlformats.org/officeDocument/2006/relationships/image" Target="media/image4.png"/><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MFAT\template\Infomap.new.dot"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73545"/>
      </a:dk2>
      <a:lt2>
        <a:srgbClr val="726772"/>
      </a:lt2>
      <a:accent1>
        <a:srgbClr val="AD84C6"/>
      </a:accent1>
      <a:accent2>
        <a:srgbClr val="8784C7"/>
      </a:accent2>
      <a:accent3>
        <a:srgbClr val="5D739A"/>
      </a:accent3>
      <a:accent4>
        <a:srgbClr val="6997AF"/>
      </a:accent4>
      <a:accent5>
        <a:srgbClr val="84ACB6"/>
      </a:accent5>
      <a:accent6>
        <a:srgbClr val="6F8183"/>
      </a:accent6>
      <a:hlink>
        <a:srgbClr val="002060"/>
      </a:hlink>
      <a:folHlink>
        <a:srgbClr val="514DA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9E3125AE2E3A4A988B9ED6352229A3" ma:contentTypeVersion="12" ma:contentTypeDescription="Create a new document." ma:contentTypeScope="" ma:versionID="a950475c9efcf5f9a73f6cfee1464052">
  <xsd:schema xmlns:xsd="http://www.w3.org/2001/XMLSchema" xmlns:xs="http://www.w3.org/2001/XMLSchema" xmlns:p="http://schemas.microsoft.com/office/2006/metadata/properties" xmlns:ns3="4eff9629-3610-477b-8379-dfa2a083d151" xmlns:ns4="12b63033-6040-4026-bdc8-6f18134b8682" targetNamespace="http://schemas.microsoft.com/office/2006/metadata/properties" ma:root="true" ma:fieldsID="b815a09abdb4de27311cf5b0385d1174" ns3:_="" ns4:_="">
    <xsd:import namespace="4eff9629-3610-477b-8379-dfa2a083d151"/>
    <xsd:import namespace="12b63033-6040-4026-bdc8-6f18134b868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f9629-3610-477b-8379-dfa2a083d1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b63033-6040-4026-bdc8-6f18134b868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BA635A-8983-43ED-8104-55CC94BBAA58}">
  <ds:schemaRefs>
    <ds:schemaRef ds:uri="http://schemas.microsoft.com/sharepoint/v3/contenttype/forms"/>
  </ds:schemaRefs>
</ds:datastoreItem>
</file>

<file path=customXml/itemProps2.xml><?xml version="1.0" encoding="utf-8"?>
<ds:datastoreItem xmlns:ds="http://schemas.openxmlformats.org/officeDocument/2006/customXml" ds:itemID="{6E2A9419-E67B-49C2-9F74-B16BD5130B00}">
  <ds:schemaRefs>
    <ds:schemaRef ds:uri="http://schemas.openxmlformats.org/officeDocument/2006/bibliography"/>
  </ds:schemaRefs>
</ds:datastoreItem>
</file>

<file path=customXml/itemProps3.xml><?xml version="1.0" encoding="utf-8"?>
<ds:datastoreItem xmlns:ds="http://schemas.openxmlformats.org/officeDocument/2006/customXml" ds:itemID="{835DB361-E364-4D1E-AEF7-6C1B804689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2BB06-E77B-4CC9-82E7-6512B7426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f9629-3610-477b-8379-dfa2a083d151"/>
    <ds:schemaRef ds:uri="12b63033-6040-4026-bdc8-6f18134b8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Infomap.new</Template>
  <TotalTime>1533</TotalTime>
  <Pages>10</Pages>
  <Words>3120</Words>
  <Characters>17785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yOUR NAME</vt:lpstr>
    </vt:vector>
  </TitlesOfParts>
  <Company>Ministry of Foreign Affairs and Trade</Company>
  <LinksUpToDate>false</LinksUpToDate>
  <CharactersWithSpaces>20864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NAME</dc:title>
  <dc:subject/>
  <dc:creator>andersi</dc:creator>
  <cp:lastModifiedBy>Sieni Tiraa</cp:lastModifiedBy>
  <cp:revision>17</cp:revision>
  <cp:lastPrinted>2011-10-27T03:11:00Z</cp:lastPrinted>
  <dcterms:created xsi:type="dcterms:W3CDTF">2026-04-10T06:12:00Z</dcterms:created>
  <dcterms:modified xsi:type="dcterms:W3CDTF">2026-06-21T20:20:00Z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0x010100919E3125AE2E3A4A988B9ED6352229A3</vt:lpwstr>
  </property>
  <property fmtid="{D5CDD505-2E9C-101B-9397-08002B2CF9AE}" pid="3" name="_dlc_policyId">
    <vt:lpwstr>0x01010077AA9D1CFFA240DC80DAD99CA5F5CD00|-1830060468</vt:lpwstr>
  </property>
  <property fmtid="{D5CDD505-2E9C-101B-9397-08002B2CF9AE}" pid="4" name="ItemRetentionFormula">
    <vt:lpwstr/>
  </property>
  <property fmtid="{D5CDD505-2E9C-101B-9397-08002B2CF9AE}" pid="5" name="_dlc_DocIdItemGuid">
    <vt:lpwstr>5ad16565-20e7-493f-a51f-c575c89cbaeb</vt:lpwstr>
  </property>
  <property fmtid="{D5CDD505-2E9C-101B-9397-08002B2CF9AE}" pid="6" name="Order">
    <vt:r8>473100</vt:r8>
  </property>
  <property fmtid="{D5CDD505-2E9C-101B-9397-08002B2CF9AE}" pid="7" name="Topic">
    <vt:lpwstr>904;#Administration|dbd2b400-2f41-44be-9ffb-5d674245dc6e</vt:lpwstr>
  </property>
  <property fmtid="{D5CDD505-2E9C-101B-9397-08002B2CF9AE}" pid="8" name="FinancialYear">
    <vt:lpwstr/>
  </property>
  <property fmtid="{D5CDD505-2E9C-101B-9397-08002B2CF9AE}" pid="9" name="SecurityClassification">
    <vt:lpwstr>344;#UNCLASSIFIED|738a72fd-0042-476f-991b-551c05ade48c</vt:lpwstr>
  </property>
  <property fmtid="{D5CDD505-2E9C-101B-9397-08002B2CF9AE}" pid="10" name="Programme">
    <vt:lpwstr>2240;#Strategic Evaluation and Research|5a900277-3cfe-4758-969b-6dcd1f2e2940</vt:lpwstr>
  </property>
  <property fmtid="{D5CDD505-2E9C-101B-9397-08002B2CF9AE}" pid="11" name="CoveringClassification">
    <vt:lpwstr/>
  </property>
  <property fmtid="{D5CDD505-2E9C-101B-9397-08002B2CF9AE}" pid="12" name="SecurityCaveat">
    <vt:lpwstr/>
  </property>
  <property fmtid="{D5CDD505-2E9C-101B-9397-08002B2CF9AE}" pid="13" name="_dlc_LastRun">
    <vt:lpwstr>08/31/2019 23:28:34</vt:lpwstr>
  </property>
  <property fmtid="{D5CDD505-2E9C-101B-9397-08002B2CF9AE}" pid="14" name="_dlc_ItemStageId">
    <vt:lpwstr>1</vt:lpwstr>
  </property>
  <property fmtid="{D5CDD505-2E9C-101B-9397-08002B2CF9AE}" pid="15" name="GrammarlyDocumentId">
    <vt:lpwstr>1650c809785641c4348fad73f9bed9dd93f977bd7ef11c279579d9b7dea66773</vt:lpwstr>
  </property>
  <property fmtid="{D5CDD505-2E9C-101B-9397-08002B2CF9AE}" pid="16" name="MSIP_Label_bd9e4d68-54d0-40a5-8c9a-85a36c87352c_Enabled">
    <vt:lpwstr>true</vt:lpwstr>
  </property>
  <property fmtid="{D5CDD505-2E9C-101B-9397-08002B2CF9AE}" pid="17" name="MSIP_Label_bd9e4d68-54d0-40a5-8c9a-85a36c87352c_SetDate">
    <vt:lpwstr>2024-05-03T04:33:00Z</vt:lpwstr>
  </property>
  <property fmtid="{D5CDD505-2E9C-101B-9397-08002B2CF9AE}" pid="18" name="MSIP_Label_bd9e4d68-54d0-40a5-8c9a-85a36c87352c_Method">
    <vt:lpwstr>Standard</vt:lpwstr>
  </property>
  <property fmtid="{D5CDD505-2E9C-101B-9397-08002B2CF9AE}" pid="19" name="MSIP_Label_bd9e4d68-54d0-40a5-8c9a-85a36c87352c_Name">
    <vt:lpwstr>Unclassified</vt:lpwstr>
  </property>
  <property fmtid="{D5CDD505-2E9C-101B-9397-08002B2CF9AE}" pid="20" name="MSIP_Label_bd9e4d68-54d0-40a5-8c9a-85a36c87352c_SiteId">
    <vt:lpwstr>388728e1-bbd0-4378-98dc-f8682e644300</vt:lpwstr>
  </property>
  <property fmtid="{D5CDD505-2E9C-101B-9397-08002B2CF9AE}" pid="21" name="MSIP_Label_bd9e4d68-54d0-40a5-8c9a-85a36c87352c_ActionId">
    <vt:lpwstr>18f909c1-9e61-45bb-843a-94a63e2ec0b5</vt:lpwstr>
  </property>
  <property fmtid="{D5CDD505-2E9C-101B-9397-08002B2CF9AE}" pid="22" name="MSIP_Label_bd9e4d68-54d0-40a5-8c9a-85a36c87352c_ContentBits">
    <vt:lpwstr>0</vt:lpwstr>
  </property>
</Properties>
</file>