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CD007" w14:textId="77777777" w:rsidR="00165F36" w:rsidRPr="004969CE" w:rsidRDefault="00165F36" w:rsidP="004969CE">
      <w:pPr>
        <w:rPr>
          <w:rFonts w:asciiTheme="minorHAnsi" w:hAnsiTheme="minorHAnsi" w:cstheme="minorHAnsi"/>
        </w:rPr>
        <w:sectPr w:rsidR="00165F36" w:rsidRPr="004969CE">
          <w:headerReference w:type="even" r:id="rId9"/>
          <w:headerReference w:type="default" r:id="rId10"/>
          <w:footerReference w:type="even" r:id="rId11"/>
          <w:footerReference w:type="default" r:id="rId12"/>
          <w:headerReference w:type="first" r:id="rId13"/>
          <w:footerReference w:type="first" r:id="rId14"/>
          <w:pgSz w:w="11907" w:h="16840"/>
          <w:pgMar w:top="238" w:right="1418" w:bottom="1021" w:left="1418" w:header="0" w:footer="0" w:gutter="0"/>
          <w:pgNumType w:start="1"/>
          <w:cols w:space="720"/>
          <w:titlePg/>
        </w:sectPr>
      </w:pPr>
    </w:p>
    <w:p w14:paraId="58258CB6" w14:textId="27A2F3BE" w:rsidR="00165F36" w:rsidRPr="004969CE" w:rsidRDefault="00E5196E" w:rsidP="004969CE">
      <w:pPr>
        <w:rPr>
          <w:rFonts w:asciiTheme="minorHAnsi" w:eastAsia="Calibri" w:hAnsiTheme="minorHAnsi" w:cstheme="minorHAnsi"/>
          <w:b/>
          <w:bCs/>
          <w:color w:val="006600"/>
          <w:sz w:val="26"/>
          <w:szCs w:val="26"/>
        </w:rPr>
      </w:pPr>
      <w:r w:rsidRPr="004969CE">
        <w:rPr>
          <w:rFonts w:asciiTheme="minorHAnsi" w:eastAsia="Calibri" w:hAnsiTheme="minorHAnsi" w:cstheme="minorHAnsi"/>
          <w:b/>
          <w:bCs/>
          <w:color w:val="006600"/>
          <w:sz w:val="26"/>
          <w:szCs w:val="26"/>
        </w:rPr>
        <w:t>Adimaitoga Rabuku</w:t>
      </w:r>
      <w:r w:rsidR="005226E9" w:rsidRPr="004969CE">
        <w:rPr>
          <w:rFonts w:asciiTheme="minorHAnsi" w:eastAsia="Calibri" w:hAnsiTheme="minorHAnsi" w:cstheme="minorHAnsi"/>
          <w:b/>
          <w:bCs/>
          <w:color w:val="006600"/>
          <w:sz w:val="26"/>
          <w:szCs w:val="26"/>
        </w:rPr>
        <w:t xml:space="preserve">| </w:t>
      </w:r>
      <w:r w:rsidRPr="004969CE">
        <w:rPr>
          <w:rFonts w:asciiTheme="minorHAnsi" w:eastAsia="Calibri" w:hAnsiTheme="minorHAnsi" w:cstheme="minorHAnsi"/>
          <w:b/>
          <w:bCs/>
          <w:color w:val="006600"/>
          <w:sz w:val="26"/>
          <w:szCs w:val="26"/>
        </w:rPr>
        <w:t>MSc in Environmental Science</w:t>
      </w:r>
      <w:r w:rsidR="005226E9" w:rsidRPr="004969CE">
        <w:rPr>
          <w:rFonts w:asciiTheme="minorHAnsi" w:eastAsia="Calibri" w:hAnsiTheme="minorHAnsi" w:cstheme="minorHAnsi"/>
          <w:b/>
          <w:bCs/>
          <w:color w:val="006600"/>
          <w:sz w:val="26"/>
          <w:szCs w:val="26"/>
        </w:rPr>
        <w:t xml:space="preserve">| </w:t>
      </w:r>
      <w:r w:rsidRPr="004969CE">
        <w:rPr>
          <w:rFonts w:asciiTheme="minorHAnsi" w:eastAsia="Calibri" w:hAnsiTheme="minorHAnsi" w:cstheme="minorHAnsi"/>
          <w:b/>
          <w:bCs/>
          <w:color w:val="006600"/>
          <w:sz w:val="26"/>
          <w:szCs w:val="26"/>
        </w:rPr>
        <w:t>University of the South Pacific</w:t>
      </w:r>
    </w:p>
    <w:p w14:paraId="3393F8BC" w14:textId="77777777" w:rsidR="00165F36" w:rsidRPr="004969CE" w:rsidRDefault="00165F36" w:rsidP="004969CE">
      <w:pPr>
        <w:ind w:firstLine="720"/>
        <w:jc w:val="center"/>
        <w:rPr>
          <w:rFonts w:asciiTheme="minorHAnsi" w:eastAsia="Calibri" w:hAnsiTheme="minorHAnsi" w:cstheme="minorHAnsi"/>
          <w:sz w:val="26"/>
          <w:szCs w:val="26"/>
        </w:rPr>
      </w:pPr>
    </w:p>
    <w:p w14:paraId="4EBA1D3C" w14:textId="6C901997" w:rsidR="00165F36" w:rsidRPr="004969CE" w:rsidRDefault="00E5196E" w:rsidP="004969CE">
      <w:pPr>
        <w:jc w:val="center"/>
        <w:rPr>
          <w:rFonts w:asciiTheme="minorHAnsi" w:eastAsia="Calibri" w:hAnsiTheme="minorHAnsi" w:cstheme="minorHAnsi"/>
          <w:color w:val="000080"/>
          <w:sz w:val="28"/>
          <w:szCs w:val="28"/>
        </w:rPr>
      </w:pPr>
      <w:r w:rsidRPr="004969CE">
        <w:rPr>
          <w:rFonts w:asciiTheme="minorHAnsi" w:eastAsia="Calibri" w:hAnsiTheme="minorHAnsi" w:cstheme="minorHAnsi"/>
          <w:b/>
          <w:sz w:val="28"/>
          <w:szCs w:val="28"/>
        </w:rPr>
        <w:t xml:space="preserve">Assessing the Development and Quality Characteristics of Melrose </w:t>
      </w:r>
      <w:r w:rsidR="00022B20" w:rsidRPr="004969CE">
        <w:rPr>
          <w:rFonts w:asciiTheme="minorHAnsi" w:eastAsia="Calibri" w:hAnsiTheme="minorHAnsi" w:cstheme="minorHAnsi"/>
          <w:b/>
          <w:sz w:val="28"/>
          <w:szCs w:val="28"/>
        </w:rPr>
        <w:t>T</w:t>
      </w:r>
      <w:r w:rsidRPr="004969CE">
        <w:rPr>
          <w:rFonts w:asciiTheme="minorHAnsi" w:eastAsia="Calibri" w:hAnsiTheme="minorHAnsi" w:cstheme="minorHAnsi"/>
          <w:b/>
          <w:sz w:val="28"/>
          <w:szCs w:val="28"/>
        </w:rPr>
        <w:t>omato (</w:t>
      </w:r>
      <w:r w:rsidRPr="004969CE">
        <w:rPr>
          <w:rFonts w:asciiTheme="minorHAnsi" w:eastAsia="Calibri" w:hAnsiTheme="minorHAnsi" w:cstheme="minorHAnsi"/>
          <w:b/>
          <w:i/>
          <w:iCs/>
          <w:sz w:val="28"/>
          <w:szCs w:val="28"/>
        </w:rPr>
        <w:t>Solanum lycopersicum</w:t>
      </w:r>
      <w:r w:rsidRPr="004969CE">
        <w:rPr>
          <w:rFonts w:asciiTheme="minorHAnsi" w:eastAsia="Calibri" w:hAnsiTheme="minorHAnsi" w:cstheme="minorHAnsi"/>
          <w:b/>
          <w:sz w:val="28"/>
          <w:szCs w:val="28"/>
        </w:rPr>
        <w:t xml:space="preserve"> L.) under waterlogging conditions in western Fiji</w:t>
      </w:r>
    </w:p>
    <w:p w14:paraId="550077F0" w14:textId="77777777" w:rsidR="00165F36" w:rsidRPr="004969CE" w:rsidRDefault="00165F36" w:rsidP="004969CE">
      <w:pPr>
        <w:ind w:left="2160"/>
        <w:jc w:val="center"/>
        <w:rPr>
          <w:rFonts w:asciiTheme="minorHAnsi" w:eastAsia="Calibri" w:hAnsiTheme="minorHAnsi" w:cstheme="minorHAnsi"/>
          <w:b/>
        </w:rPr>
      </w:pPr>
    </w:p>
    <w:p w14:paraId="0E0616AB" w14:textId="77777777" w:rsidR="00165F36" w:rsidRPr="004969CE" w:rsidRDefault="00165F36" w:rsidP="004969CE">
      <w:pPr>
        <w:ind w:firstLine="720"/>
        <w:jc w:val="center"/>
        <w:rPr>
          <w:rFonts w:asciiTheme="minorHAnsi" w:eastAsia="Calibri" w:hAnsiTheme="minorHAnsi" w:cstheme="minorHAnsi"/>
          <w:b/>
        </w:rPr>
      </w:pPr>
    </w:p>
    <w:tbl>
      <w:tblPr>
        <w:tblStyle w:val="a"/>
        <w:tblW w:w="10515" w:type="dxa"/>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15"/>
      </w:tblGrid>
      <w:tr w:rsidR="00165F36" w:rsidRPr="004969CE" w14:paraId="5BB267CF" w14:textId="77777777">
        <w:trPr>
          <w:trHeight w:val="2506"/>
        </w:trPr>
        <w:tc>
          <w:tcPr>
            <w:tcW w:w="10515" w:type="dxa"/>
            <w:shd w:val="clear" w:color="auto" w:fill="D9D9D9"/>
          </w:tcPr>
          <w:p w14:paraId="75B4C9F9" w14:textId="77777777" w:rsidR="002E1564" w:rsidRPr="004969CE" w:rsidRDefault="005226E9" w:rsidP="004969CE">
            <w:pPr>
              <w:rPr>
                <w:rFonts w:asciiTheme="minorHAnsi" w:hAnsiTheme="minorHAnsi" w:cstheme="minorHAnsi"/>
                <w:color w:val="864EA8" w:themeColor="accent1" w:themeShade="BF"/>
              </w:rPr>
            </w:pPr>
            <w:r w:rsidRPr="004969CE">
              <w:rPr>
                <w:rFonts w:asciiTheme="minorHAnsi" w:hAnsiTheme="minorHAnsi" w:cstheme="minorHAnsi"/>
                <w:b/>
                <w:color w:val="864EA8" w:themeColor="accent1" w:themeShade="BF"/>
              </w:rPr>
              <w:t xml:space="preserve">Summary: </w:t>
            </w:r>
            <w:r w:rsidRPr="004969CE">
              <w:rPr>
                <w:rFonts w:asciiTheme="minorHAnsi" w:hAnsiTheme="minorHAnsi" w:cstheme="minorHAnsi"/>
                <w:color w:val="864EA8" w:themeColor="accent1" w:themeShade="BF"/>
              </w:rPr>
              <w:t xml:space="preserve"> </w:t>
            </w:r>
          </w:p>
          <w:p w14:paraId="44700958" w14:textId="6852A738" w:rsidR="00D53377" w:rsidRPr="004969CE" w:rsidRDefault="00D53377" w:rsidP="004969CE">
            <w:pPr>
              <w:pStyle w:val="ListParagraph"/>
              <w:numPr>
                <w:ilvl w:val="0"/>
                <w:numId w:val="12"/>
              </w:numPr>
              <w:ind w:left="494" w:hanging="284"/>
              <w:rPr>
                <w:rFonts w:asciiTheme="minorHAnsi" w:hAnsiTheme="minorHAnsi" w:cstheme="minorHAnsi"/>
              </w:rPr>
            </w:pPr>
            <w:r w:rsidRPr="004969CE">
              <w:rPr>
                <w:rFonts w:asciiTheme="minorHAnsi" w:hAnsiTheme="minorHAnsi" w:cstheme="minorHAnsi"/>
              </w:rPr>
              <w:t>Climate change is a global phenomenon that has profoundly impacted agricultural productivity, which relies heavily on weather patterns</w:t>
            </w:r>
            <w:r w:rsidR="00022B20" w:rsidRPr="004969CE">
              <w:rPr>
                <w:rFonts w:asciiTheme="minorHAnsi" w:hAnsiTheme="minorHAnsi" w:cstheme="minorHAnsi"/>
              </w:rPr>
              <w:t xml:space="preserve"> like rainfall, temperature, relative humidity, and light intensity.</w:t>
            </w:r>
          </w:p>
          <w:p w14:paraId="2CAD6D38" w14:textId="77777777" w:rsidR="00022B20" w:rsidRPr="004969CE" w:rsidRDefault="00022B20" w:rsidP="004969CE">
            <w:pPr>
              <w:pStyle w:val="ListParagraph"/>
              <w:numPr>
                <w:ilvl w:val="0"/>
                <w:numId w:val="12"/>
              </w:numPr>
              <w:ind w:left="494" w:hanging="284"/>
              <w:rPr>
                <w:rFonts w:asciiTheme="minorHAnsi" w:hAnsiTheme="minorHAnsi" w:cstheme="minorHAnsi"/>
              </w:rPr>
            </w:pPr>
            <w:r w:rsidRPr="004969CE">
              <w:rPr>
                <w:rFonts w:asciiTheme="minorHAnsi" w:hAnsiTheme="minorHAnsi" w:cstheme="minorHAnsi"/>
              </w:rPr>
              <w:t xml:space="preserve">With the increasing importance of tomato cultivation for economic growth and improved living conditions, it is crucial to develop resilient agricultural systems that can withstand climate change and its associated challenges. </w:t>
            </w:r>
          </w:p>
          <w:p w14:paraId="07B23D3B" w14:textId="44915B4E" w:rsidR="00BE4985" w:rsidRPr="004969CE" w:rsidRDefault="00BE4985" w:rsidP="004969CE">
            <w:pPr>
              <w:pStyle w:val="ListParagraph"/>
              <w:numPr>
                <w:ilvl w:val="0"/>
                <w:numId w:val="12"/>
              </w:numPr>
              <w:ind w:left="494" w:hanging="284"/>
              <w:rPr>
                <w:rFonts w:asciiTheme="minorHAnsi" w:hAnsiTheme="minorHAnsi" w:cstheme="minorHAnsi"/>
              </w:rPr>
            </w:pPr>
            <w:r w:rsidRPr="004969CE">
              <w:rPr>
                <w:rFonts w:asciiTheme="minorHAnsi" w:hAnsiTheme="minorHAnsi" w:cstheme="minorHAnsi"/>
              </w:rPr>
              <w:t>The effects of waterlogging on the growth and quality attributes of Melrose tomato (</w:t>
            </w:r>
            <w:r w:rsidRPr="004969CE">
              <w:rPr>
                <w:rFonts w:asciiTheme="minorHAnsi" w:hAnsiTheme="minorHAnsi" w:cstheme="minorHAnsi"/>
                <w:i/>
                <w:iCs/>
              </w:rPr>
              <w:t xml:space="preserve">Solanum </w:t>
            </w:r>
            <w:proofErr w:type="spellStart"/>
            <w:r w:rsidRPr="004969CE">
              <w:rPr>
                <w:rFonts w:asciiTheme="minorHAnsi" w:hAnsiTheme="minorHAnsi" w:cstheme="minorHAnsi"/>
                <w:i/>
                <w:iCs/>
              </w:rPr>
              <w:t>lycopersicon</w:t>
            </w:r>
            <w:proofErr w:type="spellEnd"/>
            <w:r w:rsidRPr="004969CE">
              <w:rPr>
                <w:rFonts w:asciiTheme="minorHAnsi" w:hAnsiTheme="minorHAnsi" w:cstheme="minorHAnsi"/>
              </w:rPr>
              <w:t xml:space="preserve"> L.) were investigated </w:t>
            </w:r>
            <w:r w:rsidR="00407BBC" w:rsidRPr="004969CE">
              <w:rPr>
                <w:rFonts w:asciiTheme="minorHAnsi" w:hAnsiTheme="minorHAnsi" w:cstheme="minorHAnsi"/>
              </w:rPr>
              <w:t xml:space="preserve">in a controlled environment </w:t>
            </w:r>
            <w:r w:rsidRPr="004969CE">
              <w:rPr>
                <w:rFonts w:asciiTheme="minorHAnsi" w:hAnsiTheme="minorHAnsi" w:cstheme="minorHAnsi"/>
              </w:rPr>
              <w:t xml:space="preserve">during an off-season period in Fiji. </w:t>
            </w:r>
          </w:p>
          <w:p w14:paraId="579AA5AA" w14:textId="6E2CD260" w:rsidR="00151A83" w:rsidRPr="004969CE" w:rsidRDefault="00407BBC" w:rsidP="004969CE">
            <w:pPr>
              <w:pStyle w:val="ListParagraph"/>
              <w:numPr>
                <w:ilvl w:val="0"/>
                <w:numId w:val="12"/>
              </w:numPr>
              <w:ind w:left="494" w:hanging="284"/>
              <w:rPr>
                <w:rFonts w:asciiTheme="minorHAnsi" w:hAnsiTheme="minorHAnsi" w:cstheme="minorHAnsi"/>
              </w:rPr>
            </w:pPr>
            <w:r w:rsidRPr="004969CE">
              <w:rPr>
                <w:rFonts w:asciiTheme="minorHAnsi" w:hAnsiTheme="minorHAnsi" w:cstheme="minorHAnsi"/>
              </w:rPr>
              <w:t>A</w:t>
            </w:r>
            <w:r w:rsidR="00BE4985" w:rsidRPr="004969CE">
              <w:rPr>
                <w:rFonts w:asciiTheme="minorHAnsi" w:hAnsiTheme="minorHAnsi" w:cstheme="minorHAnsi"/>
              </w:rPr>
              <w:t xml:space="preserve"> toolkit </w:t>
            </w:r>
            <w:r w:rsidRPr="004969CE">
              <w:rPr>
                <w:rFonts w:asciiTheme="minorHAnsi" w:hAnsiTheme="minorHAnsi" w:cstheme="minorHAnsi"/>
              </w:rPr>
              <w:t xml:space="preserve">was suggested </w:t>
            </w:r>
            <w:r w:rsidR="00BE4985" w:rsidRPr="004969CE">
              <w:rPr>
                <w:rFonts w:asciiTheme="minorHAnsi" w:hAnsiTheme="minorHAnsi" w:cstheme="minorHAnsi"/>
              </w:rPr>
              <w:t xml:space="preserve">for off-season farmers </w:t>
            </w:r>
            <w:r w:rsidRPr="004969CE">
              <w:rPr>
                <w:rFonts w:asciiTheme="minorHAnsi" w:hAnsiTheme="minorHAnsi" w:cstheme="minorHAnsi"/>
              </w:rPr>
              <w:t>to</w:t>
            </w:r>
            <w:r w:rsidR="00BE4985" w:rsidRPr="004969CE">
              <w:rPr>
                <w:rFonts w:asciiTheme="minorHAnsi" w:hAnsiTheme="minorHAnsi" w:cstheme="minorHAnsi"/>
              </w:rPr>
              <w:t xml:space="preserve"> consider a controlled environmental condition</w:t>
            </w:r>
            <w:r w:rsidR="00022B20" w:rsidRPr="004969CE">
              <w:rPr>
                <w:rFonts w:asciiTheme="minorHAnsi" w:hAnsiTheme="minorHAnsi" w:cstheme="minorHAnsi"/>
              </w:rPr>
              <w:t xml:space="preserve"> with</w:t>
            </w:r>
            <w:r w:rsidR="00BE4985" w:rsidRPr="004969CE">
              <w:rPr>
                <w:rFonts w:asciiTheme="minorHAnsi" w:hAnsiTheme="minorHAnsi" w:cstheme="minorHAnsi"/>
              </w:rPr>
              <w:t xml:space="preserve"> </w:t>
            </w:r>
            <w:r w:rsidRPr="004969CE">
              <w:rPr>
                <w:rFonts w:asciiTheme="minorHAnsi" w:hAnsiTheme="minorHAnsi" w:cstheme="minorHAnsi"/>
              </w:rPr>
              <w:t>an</w:t>
            </w:r>
            <w:r w:rsidR="00BE4985" w:rsidRPr="004969CE">
              <w:rPr>
                <w:rFonts w:asciiTheme="minorHAnsi" w:hAnsiTheme="minorHAnsi" w:cstheme="minorHAnsi"/>
              </w:rPr>
              <w:t xml:space="preserve"> appropriate cultivar selection</w:t>
            </w:r>
            <w:r w:rsidRPr="004969CE">
              <w:rPr>
                <w:rFonts w:asciiTheme="minorHAnsi" w:hAnsiTheme="minorHAnsi" w:cstheme="minorHAnsi"/>
              </w:rPr>
              <w:t>,</w:t>
            </w:r>
            <w:r w:rsidR="00BE4985" w:rsidRPr="004969CE">
              <w:rPr>
                <w:rFonts w:asciiTheme="minorHAnsi" w:hAnsiTheme="minorHAnsi" w:cstheme="minorHAnsi"/>
              </w:rPr>
              <w:t xml:space="preserve"> and </w:t>
            </w:r>
            <w:r w:rsidR="00151A83" w:rsidRPr="004969CE">
              <w:rPr>
                <w:rFonts w:asciiTheme="minorHAnsi" w:hAnsiTheme="minorHAnsi" w:cstheme="minorHAnsi"/>
              </w:rPr>
              <w:t>the</w:t>
            </w:r>
            <w:r w:rsidR="00BE4985" w:rsidRPr="004969CE">
              <w:rPr>
                <w:rFonts w:asciiTheme="minorHAnsi" w:hAnsiTheme="minorHAnsi" w:cstheme="minorHAnsi"/>
              </w:rPr>
              <w:t xml:space="preserve"> </w:t>
            </w:r>
            <w:r w:rsidR="00151A83" w:rsidRPr="004969CE">
              <w:rPr>
                <w:rFonts w:asciiTheme="minorHAnsi" w:hAnsiTheme="minorHAnsi" w:cstheme="minorHAnsi"/>
              </w:rPr>
              <w:t xml:space="preserve">best </w:t>
            </w:r>
            <w:r w:rsidR="00BE4985" w:rsidRPr="004969CE">
              <w:rPr>
                <w:rFonts w:asciiTheme="minorHAnsi" w:hAnsiTheme="minorHAnsi" w:cstheme="minorHAnsi"/>
              </w:rPr>
              <w:t xml:space="preserve">soil requirement </w:t>
            </w:r>
            <w:r w:rsidRPr="004969CE">
              <w:rPr>
                <w:rFonts w:asciiTheme="minorHAnsi" w:hAnsiTheme="minorHAnsi" w:cstheme="minorHAnsi"/>
              </w:rPr>
              <w:t xml:space="preserve">aimed </w:t>
            </w:r>
            <w:r w:rsidR="00022B20" w:rsidRPr="004969CE">
              <w:rPr>
                <w:rFonts w:asciiTheme="minorHAnsi" w:hAnsiTheme="minorHAnsi" w:cstheme="minorHAnsi"/>
              </w:rPr>
              <w:t>at</w:t>
            </w:r>
            <w:r w:rsidRPr="004969CE">
              <w:rPr>
                <w:rFonts w:asciiTheme="minorHAnsi" w:hAnsiTheme="minorHAnsi" w:cstheme="minorHAnsi"/>
              </w:rPr>
              <w:t xml:space="preserve"> optimizing tomato quality and nutritional value, particularly in the context of water management</w:t>
            </w:r>
            <w:r w:rsidR="00BE4985" w:rsidRPr="004969CE">
              <w:rPr>
                <w:rFonts w:asciiTheme="minorHAnsi" w:hAnsiTheme="minorHAnsi" w:cstheme="minorHAnsi"/>
              </w:rPr>
              <w:t xml:space="preserve">. </w:t>
            </w:r>
          </w:p>
          <w:p w14:paraId="67CA6C87" w14:textId="506F4443" w:rsidR="002179BC" w:rsidRPr="004969CE" w:rsidRDefault="00DD1124" w:rsidP="004969CE">
            <w:pPr>
              <w:pStyle w:val="ListParagraph"/>
              <w:ind w:left="494"/>
              <w:rPr>
                <w:rFonts w:asciiTheme="minorHAnsi" w:hAnsiTheme="minorHAnsi" w:cstheme="minorHAnsi"/>
              </w:rPr>
            </w:pPr>
            <w:r w:rsidRPr="004969CE">
              <w:rPr>
                <w:rFonts w:asciiTheme="minorHAnsi" w:eastAsia="Calibri" w:hAnsiTheme="minorHAnsi" w:cstheme="minorHAnsi"/>
              </w:rPr>
              <w:t xml:space="preserve"> </w:t>
            </w:r>
          </w:p>
        </w:tc>
      </w:tr>
    </w:tbl>
    <w:bookmarkStart w:id="0" w:name="_heading=h.m3xu3i5k1m1c" w:colFirst="0" w:colLast="0"/>
    <w:bookmarkEnd w:id="0"/>
    <w:p w14:paraId="66455833" w14:textId="05E41D8D" w:rsidR="00165F36" w:rsidRPr="004969CE" w:rsidRDefault="00030FDD" w:rsidP="004969CE">
      <w:pPr>
        <w:pStyle w:val="Heading1"/>
        <w:tabs>
          <w:tab w:val="left" w:pos="2001"/>
        </w:tabs>
        <w:spacing w:before="480" w:after="0"/>
        <w:jc w:val="left"/>
        <w:rPr>
          <w:rFonts w:asciiTheme="minorHAnsi" w:eastAsia="Calibri" w:hAnsiTheme="minorHAnsi" w:cstheme="minorHAnsi"/>
          <w:i/>
          <w:color w:val="006600"/>
          <w:sz w:val="22"/>
        </w:rPr>
        <w:sectPr w:rsidR="00165F36" w:rsidRPr="004969CE">
          <w:type w:val="continuous"/>
          <w:pgSz w:w="11907" w:h="16840"/>
          <w:pgMar w:top="1418" w:right="1418" w:bottom="1276" w:left="1418" w:header="135" w:footer="397" w:gutter="0"/>
          <w:cols w:space="720"/>
          <w:titlePg/>
        </w:sectPr>
      </w:pPr>
      <w:r w:rsidRPr="004969CE">
        <w:rPr>
          <w:rFonts w:asciiTheme="minorHAnsi" w:hAnsiTheme="minorHAnsi" w:cstheme="minorHAnsi"/>
          <w:noProof/>
          <w:sz w:val="22"/>
        </w:rPr>
        <mc:AlternateContent>
          <mc:Choice Requires="wps">
            <w:drawing>
              <wp:anchor distT="0" distB="0" distL="114300" distR="114300" simplePos="0" relativeHeight="251658240" behindDoc="0" locked="0" layoutInCell="1" hidden="0" allowOverlap="1" wp14:anchorId="7F28365F" wp14:editId="44BAC98E">
                <wp:simplePos x="0" y="0"/>
                <wp:positionH relativeFrom="column">
                  <wp:posOffset>1</wp:posOffset>
                </wp:positionH>
                <wp:positionV relativeFrom="paragraph">
                  <wp:posOffset>0</wp:posOffset>
                </wp:positionV>
                <wp:extent cx="9525" cy="12700"/>
                <wp:effectExtent l="0" t="0" r="0" b="0"/>
                <wp:wrapNone/>
                <wp:docPr id="1262260952" name="Straight Arrow Connector 1262260952"/>
                <wp:cNvGraphicFramePr/>
                <a:graphic xmlns:a="http://schemas.openxmlformats.org/drawingml/2006/main">
                  <a:graphicData uri="http://schemas.microsoft.com/office/word/2010/wordprocessingShape">
                    <wps:wsp>
                      <wps:cNvCnPr/>
                      <wps:spPr>
                        <a:xfrm rot="10800000" flipH="1">
                          <a:off x="2421825" y="3775238"/>
                          <a:ext cx="5848350" cy="95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525" cy="12700"/>
                <wp:effectExtent b="0" l="0" r="0" t="0"/>
                <wp:wrapNone/>
                <wp:docPr id="1262260952"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9525" cy="12700"/>
                        </a:xfrm>
                        <a:prstGeom prst="rect"/>
                        <a:ln/>
                      </pic:spPr>
                    </pic:pic>
                  </a:graphicData>
                </a:graphic>
              </wp:anchor>
            </w:drawing>
          </mc:Fallback>
        </mc:AlternateContent>
      </w:r>
    </w:p>
    <w:p w14:paraId="1B8B43D3" w14:textId="77777777" w:rsidR="005226E9" w:rsidRPr="004969CE" w:rsidRDefault="005226E9" w:rsidP="004969CE">
      <w:pPr>
        <w:pStyle w:val="BulletPoints"/>
        <w:tabs>
          <w:tab w:val="clear" w:pos="720"/>
        </w:tabs>
        <w:ind w:left="0" w:firstLine="0"/>
        <w:jc w:val="left"/>
        <w:rPr>
          <w:rFonts w:asciiTheme="minorHAnsi" w:hAnsiTheme="minorHAnsi" w:cstheme="minorHAnsi"/>
          <w:b/>
          <w:color w:val="864EA8" w:themeColor="accent1" w:themeShade="BF"/>
          <w:sz w:val="22"/>
        </w:rPr>
      </w:pPr>
      <w:r w:rsidRPr="004969CE">
        <w:rPr>
          <w:rFonts w:asciiTheme="minorHAnsi" w:hAnsiTheme="minorHAnsi" w:cstheme="minorHAnsi"/>
          <w:b/>
          <w:color w:val="864EA8" w:themeColor="accent1" w:themeShade="BF"/>
          <w:sz w:val="22"/>
        </w:rPr>
        <w:t>What is the development issue?</w:t>
      </w:r>
    </w:p>
    <w:p w14:paraId="19408743" w14:textId="084FA188" w:rsidR="009874B0" w:rsidRPr="004969CE" w:rsidRDefault="00F9480B" w:rsidP="004969CE">
      <w:pPr>
        <w:pStyle w:val="BulletPoints"/>
        <w:tabs>
          <w:tab w:val="clear" w:pos="720"/>
        </w:tabs>
        <w:ind w:left="0" w:firstLine="0"/>
        <w:rPr>
          <w:rFonts w:asciiTheme="minorHAnsi" w:hAnsiTheme="minorHAnsi" w:cstheme="minorHAnsi"/>
          <w:iCs/>
          <w:sz w:val="22"/>
        </w:rPr>
      </w:pPr>
      <w:r w:rsidRPr="004969CE">
        <w:rPr>
          <w:rFonts w:asciiTheme="minorHAnsi" w:hAnsiTheme="minorHAnsi" w:cstheme="minorHAnsi"/>
          <w:iCs/>
          <w:sz w:val="22"/>
        </w:rPr>
        <w:t xml:space="preserve">Agriculture is a vital sector in Fiji, contributing to food security and economic development. </w:t>
      </w:r>
      <w:r w:rsidR="00611C4B" w:rsidRPr="004969CE">
        <w:rPr>
          <w:rFonts w:asciiTheme="minorHAnsi" w:hAnsiTheme="minorHAnsi" w:cstheme="minorHAnsi"/>
          <w:iCs/>
          <w:sz w:val="22"/>
        </w:rPr>
        <w:t xml:space="preserve">This study </w:t>
      </w:r>
      <w:r w:rsidR="00C521DB" w:rsidRPr="004969CE">
        <w:rPr>
          <w:rFonts w:asciiTheme="minorHAnsi" w:hAnsiTheme="minorHAnsi" w:cstheme="minorHAnsi"/>
          <w:iCs/>
          <w:sz w:val="22"/>
        </w:rPr>
        <w:t>examines</w:t>
      </w:r>
      <w:r w:rsidR="00611C4B" w:rsidRPr="004969CE">
        <w:rPr>
          <w:rFonts w:asciiTheme="minorHAnsi" w:hAnsiTheme="minorHAnsi" w:cstheme="minorHAnsi"/>
          <w:iCs/>
          <w:sz w:val="22"/>
        </w:rPr>
        <w:t xml:space="preserve"> the effects of </w:t>
      </w:r>
      <w:r w:rsidR="00151A83" w:rsidRPr="004969CE">
        <w:rPr>
          <w:rFonts w:asciiTheme="minorHAnsi" w:hAnsiTheme="minorHAnsi" w:cstheme="minorHAnsi"/>
          <w:iCs/>
          <w:sz w:val="22"/>
        </w:rPr>
        <w:t xml:space="preserve">duration and depth of </w:t>
      </w:r>
      <w:r w:rsidR="00611C4B" w:rsidRPr="004969CE">
        <w:rPr>
          <w:rFonts w:asciiTheme="minorHAnsi" w:hAnsiTheme="minorHAnsi" w:cstheme="minorHAnsi"/>
          <w:iCs/>
          <w:sz w:val="22"/>
        </w:rPr>
        <w:t>waterlogging on growth</w:t>
      </w:r>
      <w:r w:rsidR="00151A83" w:rsidRPr="004969CE">
        <w:rPr>
          <w:rFonts w:asciiTheme="minorHAnsi" w:hAnsiTheme="minorHAnsi" w:cstheme="minorHAnsi"/>
          <w:iCs/>
          <w:sz w:val="22"/>
        </w:rPr>
        <w:t>, yield, and</w:t>
      </w:r>
      <w:r w:rsidR="00611C4B" w:rsidRPr="004969CE">
        <w:rPr>
          <w:rFonts w:asciiTheme="minorHAnsi" w:hAnsiTheme="minorHAnsi" w:cstheme="minorHAnsi"/>
          <w:iCs/>
          <w:sz w:val="22"/>
        </w:rPr>
        <w:t xml:space="preserve"> quality attributes of tomato (</w:t>
      </w:r>
      <w:r w:rsidR="00611C4B" w:rsidRPr="004969CE">
        <w:rPr>
          <w:rFonts w:asciiTheme="minorHAnsi" w:hAnsiTheme="minorHAnsi" w:cstheme="minorHAnsi"/>
          <w:i/>
          <w:sz w:val="22"/>
        </w:rPr>
        <w:t xml:space="preserve">Solanum </w:t>
      </w:r>
      <w:proofErr w:type="spellStart"/>
      <w:r w:rsidR="00611C4B" w:rsidRPr="004969CE">
        <w:rPr>
          <w:rFonts w:asciiTheme="minorHAnsi" w:hAnsiTheme="minorHAnsi" w:cstheme="minorHAnsi"/>
          <w:i/>
          <w:sz w:val="22"/>
        </w:rPr>
        <w:t>lycopersicon</w:t>
      </w:r>
      <w:proofErr w:type="spellEnd"/>
      <w:r w:rsidR="00611C4B" w:rsidRPr="004969CE">
        <w:rPr>
          <w:rFonts w:asciiTheme="minorHAnsi" w:hAnsiTheme="minorHAnsi" w:cstheme="minorHAnsi"/>
          <w:iCs/>
          <w:sz w:val="22"/>
        </w:rPr>
        <w:t xml:space="preserve"> L.) cultivar CLN 3150A-5, locally known as Melrose, during the off-season </w:t>
      </w:r>
      <w:r w:rsidR="00294541" w:rsidRPr="004969CE">
        <w:rPr>
          <w:rFonts w:asciiTheme="minorHAnsi" w:hAnsiTheme="minorHAnsi" w:cstheme="minorHAnsi"/>
          <w:iCs/>
          <w:sz w:val="22"/>
        </w:rPr>
        <w:t xml:space="preserve">period </w:t>
      </w:r>
      <w:r w:rsidR="009874B0" w:rsidRPr="004969CE">
        <w:rPr>
          <w:rFonts w:asciiTheme="minorHAnsi" w:hAnsiTheme="minorHAnsi" w:cstheme="minorHAnsi"/>
          <w:iCs/>
          <w:sz w:val="22"/>
        </w:rPr>
        <w:t xml:space="preserve">(November to April) </w:t>
      </w:r>
      <w:r w:rsidR="00611C4B" w:rsidRPr="004969CE">
        <w:rPr>
          <w:rFonts w:asciiTheme="minorHAnsi" w:hAnsiTheme="minorHAnsi" w:cstheme="minorHAnsi"/>
          <w:iCs/>
          <w:sz w:val="22"/>
        </w:rPr>
        <w:t xml:space="preserve"> in </w:t>
      </w:r>
      <w:r w:rsidR="00151A83" w:rsidRPr="004969CE">
        <w:rPr>
          <w:rFonts w:asciiTheme="minorHAnsi" w:hAnsiTheme="minorHAnsi" w:cstheme="minorHAnsi"/>
          <w:iCs/>
          <w:sz w:val="22"/>
        </w:rPr>
        <w:t xml:space="preserve">western </w:t>
      </w:r>
      <w:r w:rsidR="00611C4B" w:rsidRPr="004969CE">
        <w:rPr>
          <w:rFonts w:asciiTheme="minorHAnsi" w:hAnsiTheme="minorHAnsi" w:cstheme="minorHAnsi"/>
          <w:iCs/>
          <w:sz w:val="22"/>
        </w:rPr>
        <w:t>Fiji</w:t>
      </w:r>
      <w:r w:rsidR="007B0C57" w:rsidRPr="004969CE">
        <w:rPr>
          <w:rFonts w:asciiTheme="minorHAnsi" w:hAnsiTheme="minorHAnsi" w:cstheme="minorHAnsi"/>
          <w:iCs/>
          <w:sz w:val="22"/>
        </w:rPr>
        <w:t xml:space="preserve"> (Figure 1)</w:t>
      </w:r>
      <w:r w:rsidR="00611C4B" w:rsidRPr="004969CE">
        <w:rPr>
          <w:rFonts w:asciiTheme="minorHAnsi" w:hAnsiTheme="minorHAnsi" w:cstheme="minorHAnsi"/>
          <w:iCs/>
          <w:sz w:val="22"/>
        </w:rPr>
        <w:t>.</w:t>
      </w:r>
    </w:p>
    <w:p w14:paraId="777BA749" w14:textId="5417345C" w:rsidR="007B0C57" w:rsidRPr="004969CE" w:rsidRDefault="00611C4B" w:rsidP="004969CE">
      <w:pPr>
        <w:pStyle w:val="BulletPoints"/>
        <w:tabs>
          <w:tab w:val="clear" w:pos="720"/>
        </w:tabs>
        <w:spacing w:after="0"/>
        <w:ind w:left="0" w:firstLine="0"/>
        <w:rPr>
          <w:rFonts w:asciiTheme="minorHAnsi" w:hAnsiTheme="minorHAnsi" w:cstheme="minorHAnsi"/>
          <w:iCs/>
          <w:sz w:val="22"/>
        </w:rPr>
      </w:pPr>
      <w:r w:rsidRPr="004969CE">
        <w:rPr>
          <w:rFonts w:asciiTheme="minorHAnsi" w:hAnsiTheme="minorHAnsi" w:cstheme="minorHAnsi"/>
          <w:iCs/>
          <w:sz w:val="22"/>
        </w:rPr>
        <w:t xml:space="preserve"> </w:t>
      </w:r>
      <w:r w:rsidR="007B0C57" w:rsidRPr="004969CE">
        <w:rPr>
          <w:rFonts w:asciiTheme="minorHAnsi" w:hAnsiTheme="minorHAnsi" w:cstheme="minorHAnsi"/>
          <w:noProof/>
          <w:sz w:val="22"/>
        </w:rPr>
        <w:drawing>
          <wp:inline distT="0" distB="0" distL="0" distR="0" wp14:anchorId="57AD5DB3" wp14:editId="7A8E8E92">
            <wp:extent cx="2909454" cy="1943725"/>
            <wp:effectExtent l="0" t="0" r="5715" b="0"/>
            <wp:docPr id="10068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667" name=""/>
                    <pic:cNvPicPr/>
                  </pic:nvPicPr>
                  <pic:blipFill>
                    <a:blip r:embed="rId16"/>
                    <a:stretch>
                      <a:fillRect/>
                    </a:stretch>
                  </pic:blipFill>
                  <pic:spPr>
                    <a:xfrm>
                      <a:off x="0" y="0"/>
                      <a:ext cx="2931405" cy="1958390"/>
                    </a:xfrm>
                    <a:prstGeom prst="rect">
                      <a:avLst/>
                    </a:prstGeom>
                  </pic:spPr>
                </pic:pic>
              </a:graphicData>
            </a:graphic>
          </wp:inline>
        </w:drawing>
      </w:r>
    </w:p>
    <w:p w14:paraId="36DC8E66" w14:textId="5C342745" w:rsidR="007B0C57" w:rsidRPr="004969CE" w:rsidRDefault="007B0C57" w:rsidP="004969CE">
      <w:pPr>
        <w:pStyle w:val="Caption"/>
        <w:jc w:val="center"/>
        <w:rPr>
          <w:rFonts w:asciiTheme="minorHAnsi" w:hAnsiTheme="minorHAnsi" w:cstheme="minorHAnsi"/>
          <w:iCs w:val="0"/>
          <w:color w:val="auto"/>
          <w:sz w:val="20"/>
          <w:szCs w:val="20"/>
        </w:rPr>
      </w:pPr>
      <w:r w:rsidRPr="004969CE">
        <w:rPr>
          <w:rFonts w:asciiTheme="minorHAnsi" w:hAnsiTheme="minorHAnsi" w:cstheme="minorHAnsi"/>
          <w:color w:val="auto"/>
          <w:sz w:val="20"/>
          <w:szCs w:val="20"/>
        </w:rPr>
        <w:t xml:space="preserve">Figure </w:t>
      </w:r>
      <w:r w:rsidRPr="004969CE">
        <w:rPr>
          <w:rFonts w:asciiTheme="minorHAnsi" w:hAnsiTheme="minorHAnsi" w:cstheme="minorHAnsi"/>
          <w:color w:val="auto"/>
          <w:sz w:val="20"/>
          <w:szCs w:val="20"/>
        </w:rPr>
        <w:fldChar w:fldCharType="begin"/>
      </w:r>
      <w:r w:rsidRPr="004969CE">
        <w:rPr>
          <w:rFonts w:asciiTheme="minorHAnsi" w:hAnsiTheme="minorHAnsi" w:cstheme="minorHAnsi"/>
          <w:color w:val="auto"/>
          <w:sz w:val="20"/>
          <w:szCs w:val="20"/>
        </w:rPr>
        <w:instrText xml:space="preserve"> SEQ Figure \* ARABIC </w:instrText>
      </w:r>
      <w:r w:rsidRPr="004969CE">
        <w:rPr>
          <w:rFonts w:asciiTheme="minorHAnsi" w:hAnsiTheme="minorHAnsi" w:cstheme="minorHAnsi"/>
          <w:color w:val="auto"/>
          <w:sz w:val="20"/>
          <w:szCs w:val="20"/>
        </w:rPr>
        <w:fldChar w:fldCharType="separate"/>
      </w:r>
      <w:r w:rsidR="003A05F5">
        <w:rPr>
          <w:rFonts w:asciiTheme="minorHAnsi" w:hAnsiTheme="minorHAnsi" w:cstheme="minorHAnsi"/>
          <w:noProof/>
          <w:color w:val="auto"/>
          <w:sz w:val="20"/>
          <w:szCs w:val="20"/>
        </w:rPr>
        <w:t>1</w:t>
      </w:r>
      <w:r w:rsidRPr="004969CE">
        <w:rPr>
          <w:rFonts w:asciiTheme="minorHAnsi" w:hAnsiTheme="minorHAnsi" w:cstheme="minorHAnsi"/>
          <w:color w:val="auto"/>
          <w:sz w:val="20"/>
          <w:szCs w:val="20"/>
        </w:rPr>
        <w:fldChar w:fldCharType="end"/>
      </w:r>
      <w:r w:rsidRPr="004969CE">
        <w:rPr>
          <w:rFonts w:asciiTheme="minorHAnsi" w:hAnsiTheme="minorHAnsi" w:cstheme="minorHAnsi"/>
          <w:color w:val="auto"/>
          <w:sz w:val="20"/>
          <w:szCs w:val="20"/>
        </w:rPr>
        <w:t xml:space="preserve">: Study </w:t>
      </w:r>
      <w:r w:rsidR="0087061D" w:rsidRPr="004969CE">
        <w:rPr>
          <w:rFonts w:asciiTheme="minorHAnsi" w:hAnsiTheme="minorHAnsi" w:cstheme="minorHAnsi"/>
          <w:color w:val="auto"/>
          <w:sz w:val="20"/>
          <w:szCs w:val="20"/>
        </w:rPr>
        <w:t>s</w:t>
      </w:r>
      <w:r w:rsidRPr="004969CE">
        <w:rPr>
          <w:rFonts w:asciiTheme="minorHAnsi" w:hAnsiTheme="minorHAnsi" w:cstheme="minorHAnsi"/>
          <w:color w:val="auto"/>
          <w:sz w:val="20"/>
          <w:szCs w:val="20"/>
        </w:rPr>
        <w:t xml:space="preserve">ite at FNU </w:t>
      </w:r>
      <w:proofErr w:type="spellStart"/>
      <w:r w:rsidRPr="004969CE">
        <w:rPr>
          <w:rFonts w:asciiTheme="minorHAnsi" w:hAnsiTheme="minorHAnsi" w:cstheme="minorHAnsi"/>
          <w:color w:val="auto"/>
          <w:sz w:val="20"/>
          <w:szCs w:val="20"/>
        </w:rPr>
        <w:t>Natabua</w:t>
      </w:r>
      <w:proofErr w:type="spellEnd"/>
      <w:r w:rsidRPr="004969CE">
        <w:rPr>
          <w:rFonts w:asciiTheme="minorHAnsi" w:hAnsiTheme="minorHAnsi" w:cstheme="minorHAnsi"/>
          <w:color w:val="auto"/>
          <w:sz w:val="20"/>
          <w:szCs w:val="20"/>
        </w:rPr>
        <w:t xml:space="preserve"> Campus, Lautoka, Western Fiji</w:t>
      </w:r>
    </w:p>
    <w:p w14:paraId="7127C7E9" w14:textId="00F30231" w:rsidR="009874B0" w:rsidRPr="004969CE" w:rsidRDefault="009874B0" w:rsidP="004969CE">
      <w:pPr>
        <w:pStyle w:val="BulletPoints"/>
        <w:tabs>
          <w:tab w:val="clear" w:pos="720"/>
        </w:tabs>
        <w:ind w:left="0" w:firstLine="0"/>
        <w:rPr>
          <w:rFonts w:asciiTheme="minorHAnsi" w:hAnsiTheme="minorHAnsi" w:cstheme="minorHAnsi"/>
          <w:iCs/>
          <w:sz w:val="22"/>
        </w:rPr>
      </w:pPr>
      <w:r w:rsidRPr="004969CE">
        <w:rPr>
          <w:rFonts w:asciiTheme="minorHAnsi" w:hAnsiTheme="minorHAnsi" w:cstheme="minorHAnsi"/>
          <w:iCs/>
          <w:sz w:val="22"/>
        </w:rPr>
        <w:t xml:space="preserve">The months from November to April in Fiji are regarded as our cyclone season, with intense heat and rainfall, hence the research </w:t>
      </w:r>
      <w:r w:rsidR="00E83779" w:rsidRPr="004969CE">
        <w:rPr>
          <w:rFonts w:asciiTheme="minorHAnsi" w:hAnsiTheme="minorHAnsi" w:cstheme="minorHAnsi"/>
          <w:iCs/>
          <w:sz w:val="22"/>
        </w:rPr>
        <w:fldChar w:fldCharType="begin"/>
      </w:r>
      <w:r w:rsidR="005B4C9D" w:rsidRPr="004969CE">
        <w:rPr>
          <w:rFonts w:asciiTheme="minorHAnsi" w:hAnsiTheme="minorHAnsi" w:cstheme="minorHAnsi"/>
          <w:iCs/>
          <w:sz w:val="22"/>
        </w:rPr>
        <w:instrText xml:space="preserve"> ADDIN EN.CITE &lt;EndNote&gt;&lt;Cite&gt;&lt;Author&gt;Rabuku&lt;/Author&gt;&lt;Year&gt;2023&lt;/Year&gt;&lt;RecNum&gt;100&lt;/RecNum&gt;&lt;DisplayText&gt;(Rabuku and Cagivinaka 2023)&lt;/DisplayText&gt;&lt;record&gt;&lt;rec-number&gt;100&lt;/rec-number&gt;&lt;foreign-keys&gt;&lt;key app="EN" db-id="xf9rwp0zu0rpdaedpswxafpaf5ee5wtp5wse" timestamp="0" guid="fc6b6f7f-e529-45ac-b082-35110b02a75d"&gt;100&lt;/key&gt;&lt;/foreign-keys&gt;&lt;ref-type name="Journal Article"&gt;17&lt;/ref-type&gt;&lt;contributors&gt;&lt;authors&gt;&lt;author&gt;Rabuku, Adimaitoga Tauyavunilotu William&lt;/author&gt;&lt;author&gt;Cagivinaka, Vilive&lt;/author&gt;&lt;/authors&gt;&lt;/contributors&gt;&lt;titles&gt;&lt;title&gt;Farmers Resilience and Adaptation to Climate Change and Flooding–A Case Study of a Semi-Rural Settlement in Fiji&lt;/title&gt;&lt;secondary-title&gt;Journal of Namibian Studies: History Politics Culture&lt;/secondary-title&gt;&lt;/titles&gt;&lt;periodical&gt;&lt;full-title&gt;Journal of Namibian Studies: History Politics Culture&lt;/full-title&gt;&lt;/periodical&gt;&lt;pages&gt;2111-2127&lt;/pages&gt;&lt;volume&gt;34&lt;/volume&gt;&lt;dates&gt;&lt;year&gt;2023&lt;/year&gt;&lt;/dates&gt;&lt;isbn&gt;2197-5523&lt;/isbn&gt;&lt;urls&gt;&lt;/urls&gt;&lt;/record&gt;&lt;/Cite&gt;&lt;/EndNote&gt;</w:instrText>
      </w:r>
      <w:r w:rsidR="00E83779" w:rsidRPr="004969CE">
        <w:rPr>
          <w:rFonts w:asciiTheme="minorHAnsi" w:hAnsiTheme="minorHAnsi" w:cstheme="minorHAnsi"/>
          <w:iCs/>
          <w:sz w:val="22"/>
        </w:rPr>
        <w:fldChar w:fldCharType="separate"/>
      </w:r>
      <w:r w:rsidR="005B4C9D" w:rsidRPr="004969CE">
        <w:rPr>
          <w:rFonts w:asciiTheme="minorHAnsi" w:hAnsiTheme="minorHAnsi" w:cstheme="minorHAnsi"/>
          <w:iCs/>
          <w:noProof/>
          <w:sz w:val="22"/>
        </w:rPr>
        <w:t>(Rabuku and Cagivinaka 2023)</w:t>
      </w:r>
      <w:r w:rsidR="00E83779" w:rsidRPr="004969CE">
        <w:rPr>
          <w:rFonts w:asciiTheme="minorHAnsi" w:hAnsiTheme="minorHAnsi" w:cstheme="minorHAnsi"/>
          <w:iCs/>
          <w:sz w:val="22"/>
        </w:rPr>
        <w:fldChar w:fldCharType="end"/>
      </w:r>
    </w:p>
    <w:p w14:paraId="2EE8D2A3" w14:textId="347AF02C" w:rsidR="007B0C57" w:rsidRPr="004969CE" w:rsidRDefault="00611C4B" w:rsidP="004969CE">
      <w:pPr>
        <w:pStyle w:val="BulletPoints"/>
        <w:tabs>
          <w:tab w:val="clear" w:pos="720"/>
        </w:tabs>
        <w:ind w:left="0" w:firstLine="0"/>
        <w:rPr>
          <w:rFonts w:asciiTheme="minorHAnsi" w:hAnsiTheme="minorHAnsi" w:cstheme="minorHAnsi"/>
          <w:iCs/>
          <w:sz w:val="22"/>
        </w:rPr>
      </w:pPr>
      <w:r w:rsidRPr="004969CE">
        <w:rPr>
          <w:rFonts w:asciiTheme="minorHAnsi" w:hAnsiTheme="minorHAnsi" w:cstheme="minorHAnsi"/>
          <w:iCs/>
          <w:sz w:val="22"/>
        </w:rPr>
        <w:t xml:space="preserve">The </w:t>
      </w:r>
      <w:r w:rsidR="009874B0" w:rsidRPr="004969CE">
        <w:rPr>
          <w:rFonts w:asciiTheme="minorHAnsi" w:hAnsiTheme="minorHAnsi" w:cstheme="minorHAnsi"/>
          <w:iCs/>
          <w:sz w:val="22"/>
        </w:rPr>
        <w:t xml:space="preserve">study </w:t>
      </w:r>
      <w:r w:rsidRPr="004969CE">
        <w:rPr>
          <w:rFonts w:asciiTheme="minorHAnsi" w:hAnsiTheme="minorHAnsi" w:cstheme="minorHAnsi"/>
          <w:iCs/>
          <w:sz w:val="22"/>
        </w:rPr>
        <w:t xml:space="preserve">is particularly relevant given the increasing incidence of waterlogging due to climate change, which significantly threatens tomato cultivation. </w:t>
      </w:r>
      <w:r w:rsidR="00151A83" w:rsidRPr="004969CE">
        <w:rPr>
          <w:rFonts w:asciiTheme="minorHAnsi" w:hAnsiTheme="minorHAnsi" w:cstheme="minorHAnsi"/>
          <w:iCs/>
          <w:sz w:val="22"/>
        </w:rPr>
        <w:t>The experiment was conducted in a controlled greenhouse environment</w:t>
      </w:r>
      <w:r w:rsidR="00F9480B" w:rsidRPr="004969CE">
        <w:rPr>
          <w:rFonts w:asciiTheme="minorHAnsi" w:hAnsiTheme="minorHAnsi" w:cstheme="minorHAnsi"/>
          <w:iCs/>
          <w:sz w:val="22"/>
        </w:rPr>
        <w:t xml:space="preserve"> at the Fiji National University research facility</w:t>
      </w:r>
      <w:r w:rsidR="00151A83" w:rsidRPr="004969CE">
        <w:rPr>
          <w:rFonts w:asciiTheme="minorHAnsi" w:hAnsiTheme="minorHAnsi" w:cstheme="minorHAnsi"/>
          <w:iCs/>
          <w:sz w:val="22"/>
        </w:rPr>
        <w:t>, adhering to optimal conditions for tomato growth, including a specific soil composition and shade structure</w:t>
      </w:r>
      <w:r w:rsidR="007B0C57" w:rsidRPr="004969CE">
        <w:rPr>
          <w:rFonts w:asciiTheme="minorHAnsi" w:hAnsiTheme="minorHAnsi" w:cstheme="minorHAnsi"/>
          <w:iCs/>
          <w:sz w:val="22"/>
        </w:rPr>
        <w:t>.</w:t>
      </w:r>
    </w:p>
    <w:p w14:paraId="205B21EF" w14:textId="03284EE3" w:rsidR="0034452B" w:rsidRPr="004969CE" w:rsidRDefault="00F9480B" w:rsidP="004969CE">
      <w:pPr>
        <w:pStyle w:val="BulletPoints"/>
        <w:tabs>
          <w:tab w:val="clear" w:pos="720"/>
        </w:tabs>
        <w:ind w:left="0" w:firstLine="0"/>
        <w:rPr>
          <w:rFonts w:asciiTheme="minorHAnsi" w:hAnsiTheme="minorHAnsi" w:cstheme="minorHAnsi"/>
          <w:iCs/>
          <w:sz w:val="22"/>
        </w:rPr>
      </w:pPr>
      <w:r w:rsidRPr="004969CE">
        <w:rPr>
          <w:rFonts w:asciiTheme="minorHAnsi" w:hAnsiTheme="minorHAnsi" w:cstheme="minorHAnsi"/>
          <w:iCs/>
          <w:sz w:val="22"/>
        </w:rPr>
        <w:t>The Melrose variety was selected based on its characteristics, i.e. open-pollinated, resistant to tomato mosaic virus, firm texture, and moderate resistance to bacteria wilt (</w:t>
      </w:r>
      <w:r w:rsidR="000F5AD3" w:rsidRPr="004969CE">
        <w:rPr>
          <w:rFonts w:asciiTheme="minorHAnsi" w:hAnsiTheme="minorHAnsi" w:cstheme="minorHAnsi"/>
          <w:iCs/>
          <w:sz w:val="22"/>
        </w:rPr>
        <w:t>SPC</w:t>
      </w:r>
      <w:r w:rsidRPr="004969CE">
        <w:rPr>
          <w:rFonts w:asciiTheme="minorHAnsi" w:hAnsiTheme="minorHAnsi" w:cstheme="minorHAnsi"/>
          <w:iCs/>
          <w:sz w:val="22"/>
        </w:rPr>
        <w:t>, 20</w:t>
      </w:r>
      <w:r w:rsidR="000F5AD3" w:rsidRPr="004969CE">
        <w:rPr>
          <w:rFonts w:asciiTheme="minorHAnsi" w:hAnsiTheme="minorHAnsi" w:cstheme="minorHAnsi"/>
          <w:iCs/>
          <w:sz w:val="22"/>
        </w:rPr>
        <w:t>18</w:t>
      </w:r>
      <w:r w:rsidRPr="004969CE">
        <w:rPr>
          <w:rFonts w:asciiTheme="minorHAnsi" w:hAnsiTheme="minorHAnsi" w:cstheme="minorHAnsi"/>
          <w:iCs/>
          <w:sz w:val="22"/>
        </w:rPr>
        <w:t>).</w:t>
      </w:r>
      <w:r w:rsidR="0034452B" w:rsidRPr="004969CE">
        <w:rPr>
          <w:rFonts w:asciiTheme="minorHAnsi" w:hAnsiTheme="minorHAnsi" w:cstheme="minorHAnsi"/>
          <w:iCs/>
          <w:sz w:val="22"/>
        </w:rPr>
        <w:t xml:space="preserve"> The </w:t>
      </w:r>
      <w:r w:rsidR="00022B20" w:rsidRPr="004969CE">
        <w:rPr>
          <w:rFonts w:asciiTheme="minorHAnsi" w:hAnsiTheme="minorHAnsi" w:cstheme="minorHAnsi"/>
          <w:iCs/>
          <w:sz w:val="22"/>
        </w:rPr>
        <w:t xml:space="preserve">Melrose </w:t>
      </w:r>
      <w:r w:rsidR="0034452B" w:rsidRPr="004969CE">
        <w:rPr>
          <w:rFonts w:asciiTheme="minorHAnsi" w:hAnsiTheme="minorHAnsi" w:cstheme="minorHAnsi"/>
          <w:iCs/>
          <w:sz w:val="22"/>
        </w:rPr>
        <w:t xml:space="preserve">seeds were obtained from </w:t>
      </w:r>
      <w:proofErr w:type="spellStart"/>
      <w:r w:rsidR="0034452B" w:rsidRPr="004969CE">
        <w:rPr>
          <w:rFonts w:asciiTheme="minorHAnsi" w:hAnsiTheme="minorHAnsi" w:cstheme="minorHAnsi"/>
          <w:iCs/>
          <w:sz w:val="22"/>
        </w:rPr>
        <w:t>Nacocolevu</w:t>
      </w:r>
      <w:proofErr w:type="spellEnd"/>
      <w:r w:rsidR="0034452B" w:rsidRPr="004969CE">
        <w:rPr>
          <w:rFonts w:asciiTheme="minorHAnsi" w:hAnsiTheme="minorHAnsi" w:cstheme="minorHAnsi"/>
          <w:iCs/>
          <w:sz w:val="22"/>
        </w:rPr>
        <w:t xml:space="preserve"> research station following its standard operating procedure for regular cultivation. </w:t>
      </w:r>
    </w:p>
    <w:p w14:paraId="07F13DFC" w14:textId="5D4E8996" w:rsidR="00F141A9" w:rsidRPr="004969CE" w:rsidRDefault="00F141A9" w:rsidP="004969CE">
      <w:pPr>
        <w:pStyle w:val="BulletPoints"/>
        <w:tabs>
          <w:tab w:val="clear" w:pos="720"/>
        </w:tabs>
        <w:ind w:left="0" w:firstLine="0"/>
        <w:rPr>
          <w:rFonts w:asciiTheme="minorHAnsi" w:hAnsiTheme="minorHAnsi" w:cstheme="minorHAnsi"/>
          <w:iCs/>
          <w:sz w:val="22"/>
        </w:rPr>
      </w:pPr>
      <w:r w:rsidRPr="004969CE">
        <w:rPr>
          <w:rFonts w:asciiTheme="minorHAnsi" w:hAnsiTheme="minorHAnsi" w:cstheme="minorHAnsi"/>
          <w:iCs/>
          <w:sz w:val="22"/>
        </w:rPr>
        <w:t xml:space="preserve">A mixed-method approach using a </w:t>
      </w:r>
      <w:r w:rsidR="00CD119B" w:rsidRPr="004969CE">
        <w:rPr>
          <w:rFonts w:asciiTheme="minorHAnsi" w:hAnsiTheme="minorHAnsi" w:cstheme="minorHAnsi"/>
          <w:iCs/>
          <w:sz w:val="22"/>
        </w:rPr>
        <w:t>q</w:t>
      </w:r>
      <w:r w:rsidRPr="004969CE">
        <w:rPr>
          <w:rFonts w:asciiTheme="minorHAnsi" w:hAnsiTheme="minorHAnsi" w:cstheme="minorHAnsi"/>
          <w:iCs/>
          <w:sz w:val="22"/>
        </w:rPr>
        <w:t>uasi-</w:t>
      </w:r>
      <w:r w:rsidR="00CD119B" w:rsidRPr="004969CE">
        <w:rPr>
          <w:rFonts w:asciiTheme="minorHAnsi" w:hAnsiTheme="minorHAnsi" w:cstheme="minorHAnsi"/>
          <w:iCs/>
          <w:sz w:val="22"/>
        </w:rPr>
        <w:t>e</w:t>
      </w:r>
      <w:r w:rsidRPr="004969CE">
        <w:rPr>
          <w:rFonts w:asciiTheme="minorHAnsi" w:hAnsiTheme="minorHAnsi" w:cstheme="minorHAnsi"/>
          <w:iCs/>
          <w:sz w:val="22"/>
        </w:rPr>
        <w:t xml:space="preserve">xperimental concept was employed in this project following a </w:t>
      </w:r>
      <w:r w:rsidR="00CD119B" w:rsidRPr="004969CE">
        <w:rPr>
          <w:rFonts w:asciiTheme="minorHAnsi" w:hAnsiTheme="minorHAnsi" w:cstheme="minorHAnsi"/>
          <w:iCs/>
          <w:sz w:val="22"/>
        </w:rPr>
        <w:t>r</w:t>
      </w:r>
      <w:r w:rsidRPr="004969CE">
        <w:rPr>
          <w:rFonts w:asciiTheme="minorHAnsi" w:hAnsiTheme="minorHAnsi" w:cstheme="minorHAnsi"/>
          <w:iCs/>
          <w:sz w:val="22"/>
        </w:rPr>
        <w:t xml:space="preserve">andomized </w:t>
      </w:r>
      <w:r w:rsidR="00CD119B" w:rsidRPr="004969CE">
        <w:rPr>
          <w:rFonts w:asciiTheme="minorHAnsi" w:hAnsiTheme="minorHAnsi" w:cstheme="minorHAnsi"/>
          <w:iCs/>
          <w:sz w:val="22"/>
        </w:rPr>
        <w:t>c</w:t>
      </w:r>
      <w:r w:rsidRPr="004969CE">
        <w:rPr>
          <w:rFonts w:asciiTheme="minorHAnsi" w:hAnsiTheme="minorHAnsi" w:cstheme="minorHAnsi"/>
          <w:iCs/>
          <w:sz w:val="22"/>
        </w:rPr>
        <w:t xml:space="preserve">omplete </w:t>
      </w:r>
      <w:r w:rsidR="00CD119B" w:rsidRPr="004969CE">
        <w:rPr>
          <w:rFonts w:asciiTheme="minorHAnsi" w:hAnsiTheme="minorHAnsi" w:cstheme="minorHAnsi"/>
          <w:iCs/>
          <w:sz w:val="22"/>
        </w:rPr>
        <w:t>b</w:t>
      </w:r>
      <w:r w:rsidRPr="004969CE">
        <w:rPr>
          <w:rFonts w:asciiTheme="minorHAnsi" w:hAnsiTheme="minorHAnsi" w:cstheme="minorHAnsi"/>
          <w:iCs/>
          <w:sz w:val="22"/>
        </w:rPr>
        <w:t xml:space="preserve">lock </w:t>
      </w:r>
      <w:r w:rsidR="00CD119B" w:rsidRPr="004969CE">
        <w:rPr>
          <w:rFonts w:asciiTheme="minorHAnsi" w:hAnsiTheme="minorHAnsi" w:cstheme="minorHAnsi"/>
          <w:iCs/>
          <w:sz w:val="22"/>
        </w:rPr>
        <w:t>d</w:t>
      </w:r>
      <w:r w:rsidRPr="004969CE">
        <w:rPr>
          <w:rFonts w:asciiTheme="minorHAnsi" w:hAnsiTheme="minorHAnsi" w:cstheme="minorHAnsi"/>
          <w:iCs/>
          <w:sz w:val="22"/>
        </w:rPr>
        <w:t xml:space="preserve">esign </w:t>
      </w:r>
      <w:r w:rsidRPr="004969CE">
        <w:rPr>
          <w:rFonts w:asciiTheme="minorHAnsi" w:hAnsiTheme="minorHAnsi" w:cstheme="minorHAnsi"/>
          <w:iCs/>
          <w:sz w:val="22"/>
        </w:rPr>
        <w:lastRenderedPageBreak/>
        <w:t>(RCBD) for water stress treatment in a pot experiment</w:t>
      </w:r>
      <w:r w:rsidR="000D554E" w:rsidRPr="004969CE">
        <w:rPr>
          <w:rFonts w:asciiTheme="minorHAnsi" w:hAnsiTheme="minorHAnsi" w:cstheme="minorHAnsi"/>
          <w:iCs/>
          <w:sz w:val="22"/>
        </w:rPr>
        <w:t>, underscoring</w:t>
      </w:r>
      <w:r w:rsidRPr="004969CE">
        <w:rPr>
          <w:rFonts w:asciiTheme="minorHAnsi" w:hAnsiTheme="minorHAnsi" w:cstheme="minorHAnsi"/>
          <w:iCs/>
          <w:sz w:val="22"/>
        </w:rPr>
        <w:t xml:space="preserve"> its rigorous methodology and commitment to scientific investigation </w:t>
      </w:r>
      <w:r w:rsidRPr="004969CE">
        <w:rPr>
          <w:rFonts w:asciiTheme="minorHAnsi" w:hAnsiTheme="minorHAnsi" w:cstheme="minorHAnsi"/>
          <w:iCs/>
          <w:sz w:val="22"/>
        </w:rPr>
        <w:fldChar w:fldCharType="begin"/>
      </w:r>
      <w:r w:rsidR="005B4C9D" w:rsidRPr="004969CE">
        <w:rPr>
          <w:rFonts w:asciiTheme="minorHAnsi" w:hAnsiTheme="minorHAnsi" w:cstheme="minorHAnsi"/>
          <w:iCs/>
          <w:sz w:val="22"/>
        </w:rPr>
        <w:instrText xml:space="preserve"> ADDIN EN.CITE &lt;EndNote&gt;&lt;Cite&gt;&lt;Author&gt;Imakumbili&lt;/Author&gt;&lt;Year&gt;2019&lt;/Year&gt;&lt;RecNum&gt;251&lt;/RecNum&gt;&lt;DisplayText&gt;(Imakumbili 2019)&lt;/DisplayText&gt;&lt;record&gt;&lt;rec-number&gt;251&lt;/rec-number&gt;&lt;foreign-keys&gt;&lt;key app="EN" db-id="xf9rwp0zu0rpdaedpswxafpaf5ee5wtp5wse" timestamp="1721045208" guid="a802c180-9ac6-4aaa-8157-b8739d198141"&gt;251&lt;/key&gt;&lt;/foreign-keys&gt;&lt;ref-type name="Journal Article"&gt;17&lt;/ref-type&gt;&lt;contributors&gt;&lt;authors&gt;&lt;author&gt;Imakumbili, Matema LE&lt;/author&gt;&lt;/authors&gt;&lt;/contributors&gt;&lt;titles&gt;&lt;title&gt;Making water stress treatments in pot experiments: An illustrated step-by-step guide&lt;/title&gt;&lt;/titles&gt;&lt;dates&gt;&lt;year&gt;2019&lt;/year&gt;&lt;/dates&gt;&lt;urls&gt;&lt;/urls&gt;&lt;/record&gt;&lt;/Cite&gt;&lt;/EndNote&gt;</w:instrText>
      </w:r>
      <w:r w:rsidRPr="004969CE">
        <w:rPr>
          <w:rFonts w:asciiTheme="minorHAnsi" w:hAnsiTheme="minorHAnsi" w:cstheme="minorHAnsi"/>
          <w:iCs/>
          <w:sz w:val="22"/>
        </w:rPr>
        <w:fldChar w:fldCharType="separate"/>
      </w:r>
      <w:r w:rsidR="005B4C9D" w:rsidRPr="004969CE">
        <w:rPr>
          <w:rFonts w:asciiTheme="minorHAnsi" w:hAnsiTheme="minorHAnsi" w:cstheme="minorHAnsi"/>
          <w:iCs/>
          <w:noProof/>
          <w:sz w:val="22"/>
        </w:rPr>
        <w:t>(Imakumbili 2019)</w:t>
      </w:r>
      <w:r w:rsidRPr="004969CE">
        <w:rPr>
          <w:rFonts w:asciiTheme="minorHAnsi" w:hAnsiTheme="minorHAnsi" w:cstheme="minorHAnsi"/>
          <w:iCs/>
          <w:sz w:val="22"/>
        </w:rPr>
        <w:fldChar w:fldCharType="end"/>
      </w:r>
      <w:r w:rsidRPr="004969CE">
        <w:rPr>
          <w:rFonts w:asciiTheme="minorHAnsi" w:hAnsiTheme="minorHAnsi" w:cstheme="minorHAnsi"/>
          <w:iCs/>
          <w:sz w:val="22"/>
        </w:rPr>
        <w:t xml:space="preserve">. </w:t>
      </w:r>
    </w:p>
    <w:p w14:paraId="124D0993" w14:textId="77777777" w:rsidR="00F141A9" w:rsidRPr="004969CE" w:rsidRDefault="00F141A9" w:rsidP="004969CE">
      <w:pPr>
        <w:pStyle w:val="BulletPoints"/>
        <w:keepNext/>
        <w:tabs>
          <w:tab w:val="clear" w:pos="720"/>
        </w:tabs>
        <w:ind w:left="0" w:firstLine="0"/>
        <w:jc w:val="left"/>
        <w:rPr>
          <w:rFonts w:asciiTheme="minorHAnsi" w:hAnsiTheme="minorHAnsi" w:cstheme="minorHAnsi"/>
          <w:sz w:val="22"/>
        </w:rPr>
      </w:pPr>
      <w:r w:rsidRPr="004969CE">
        <w:rPr>
          <w:rFonts w:asciiTheme="minorHAnsi" w:hAnsiTheme="minorHAnsi" w:cstheme="minorHAnsi"/>
          <w:noProof/>
          <w:sz w:val="22"/>
        </w:rPr>
        <w:drawing>
          <wp:inline distT="0" distB="0" distL="0" distR="0" wp14:anchorId="09D466D8" wp14:editId="476C5768">
            <wp:extent cx="3190875" cy="1200446"/>
            <wp:effectExtent l="19050" t="19050" r="9525" b="19050"/>
            <wp:docPr id="590072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72266" name=""/>
                    <pic:cNvPicPr/>
                  </pic:nvPicPr>
                  <pic:blipFill>
                    <a:blip r:embed="rId17"/>
                    <a:stretch>
                      <a:fillRect/>
                    </a:stretch>
                  </pic:blipFill>
                  <pic:spPr>
                    <a:xfrm>
                      <a:off x="0" y="0"/>
                      <a:ext cx="3239809" cy="1218856"/>
                    </a:xfrm>
                    <a:prstGeom prst="rect">
                      <a:avLst/>
                    </a:prstGeom>
                    <a:ln w="9525">
                      <a:solidFill>
                        <a:schemeClr val="tx1"/>
                      </a:solidFill>
                    </a:ln>
                  </pic:spPr>
                </pic:pic>
              </a:graphicData>
            </a:graphic>
          </wp:inline>
        </w:drawing>
      </w:r>
    </w:p>
    <w:p w14:paraId="1ED8A53C" w14:textId="03CDB971" w:rsidR="00F141A9" w:rsidRPr="004969CE" w:rsidRDefault="00F141A9" w:rsidP="004969CE">
      <w:pPr>
        <w:pStyle w:val="Caption"/>
        <w:jc w:val="center"/>
        <w:rPr>
          <w:rFonts w:asciiTheme="minorHAnsi" w:hAnsiTheme="minorHAnsi" w:cstheme="minorHAnsi"/>
          <w:b/>
          <w:color w:val="auto"/>
          <w:sz w:val="20"/>
          <w:szCs w:val="20"/>
        </w:rPr>
      </w:pPr>
      <w:r w:rsidRPr="004969CE">
        <w:rPr>
          <w:rFonts w:asciiTheme="minorHAnsi" w:hAnsiTheme="minorHAnsi" w:cstheme="minorHAnsi"/>
          <w:color w:val="auto"/>
          <w:sz w:val="20"/>
          <w:szCs w:val="20"/>
        </w:rPr>
        <w:t xml:space="preserve">Figure </w:t>
      </w:r>
      <w:r w:rsidRPr="004969CE">
        <w:rPr>
          <w:rFonts w:asciiTheme="minorHAnsi" w:hAnsiTheme="minorHAnsi" w:cstheme="minorHAnsi"/>
          <w:color w:val="auto"/>
          <w:sz w:val="20"/>
          <w:szCs w:val="20"/>
        </w:rPr>
        <w:fldChar w:fldCharType="begin"/>
      </w:r>
      <w:r w:rsidRPr="004969CE">
        <w:rPr>
          <w:rFonts w:asciiTheme="minorHAnsi" w:hAnsiTheme="minorHAnsi" w:cstheme="minorHAnsi"/>
          <w:color w:val="auto"/>
          <w:sz w:val="20"/>
          <w:szCs w:val="20"/>
        </w:rPr>
        <w:instrText xml:space="preserve"> SEQ Figure \* ARABIC </w:instrText>
      </w:r>
      <w:r w:rsidRPr="004969CE">
        <w:rPr>
          <w:rFonts w:asciiTheme="minorHAnsi" w:hAnsiTheme="minorHAnsi" w:cstheme="minorHAnsi"/>
          <w:color w:val="auto"/>
          <w:sz w:val="20"/>
          <w:szCs w:val="20"/>
        </w:rPr>
        <w:fldChar w:fldCharType="separate"/>
      </w:r>
      <w:r w:rsidR="003A05F5">
        <w:rPr>
          <w:rFonts w:asciiTheme="minorHAnsi" w:hAnsiTheme="minorHAnsi" w:cstheme="minorHAnsi"/>
          <w:noProof/>
          <w:color w:val="auto"/>
          <w:sz w:val="20"/>
          <w:szCs w:val="20"/>
        </w:rPr>
        <w:t>2</w:t>
      </w:r>
      <w:r w:rsidRPr="004969CE">
        <w:rPr>
          <w:rFonts w:asciiTheme="minorHAnsi" w:hAnsiTheme="minorHAnsi" w:cstheme="minorHAnsi"/>
          <w:color w:val="auto"/>
          <w:sz w:val="20"/>
          <w:szCs w:val="20"/>
        </w:rPr>
        <w:fldChar w:fldCharType="end"/>
      </w:r>
      <w:r w:rsidRPr="004969CE">
        <w:rPr>
          <w:rFonts w:asciiTheme="minorHAnsi" w:hAnsiTheme="minorHAnsi" w:cstheme="minorHAnsi"/>
          <w:color w:val="auto"/>
          <w:sz w:val="20"/>
          <w:szCs w:val="20"/>
        </w:rPr>
        <w:t>: Experimental Design</w:t>
      </w:r>
    </w:p>
    <w:p w14:paraId="4DD5AA62" w14:textId="668F345C" w:rsidR="005226E9" w:rsidRPr="004969CE" w:rsidRDefault="005226E9" w:rsidP="004969CE">
      <w:pPr>
        <w:pStyle w:val="BulletPoints"/>
        <w:tabs>
          <w:tab w:val="clear" w:pos="720"/>
        </w:tabs>
        <w:ind w:left="0" w:firstLine="0"/>
        <w:rPr>
          <w:rFonts w:asciiTheme="minorHAnsi" w:hAnsiTheme="minorHAnsi" w:cstheme="minorHAnsi"/>
          <w:b/>
          <w:color w:val="864EA8" w:themeColor="accent1" w:themeShade="BF"/>
          <w:sz w:val="22"/>
        </w:rPr>
      </w:pPr>
      <w:r w:rsidRPr="004969CE">
        <w:rPr>
          <w:rFonts w:asciiTheme="minorHAnsi" w:hAnsiTheme="minorHAnsi" w:cstheme="minorHAnsi"/>
          <w:b/>
          <w:color w:val="864EA8" w:themeColor="accent1" w:themeShade="BF"/>
          <w:sz w:val="22"/>
        </w:rPr>
        <w:t>Key findings</w:t>
      </w:r>
    </w:p>
    <w:p w14:paraId="518DDB15" w14:textId="2F63BCD7" w:rsidR="00F141A9" w:rsidRPr="004969CE" w:rsidRDefault="00F141A9" w:rsidP="004969CE">
      <w:pPr>
        <w:pStyle w:val="BulletPoints"/>
        <w:numPr>
          <w:ilvl w:val="0"/>
          <w:numId w:val="8"/>
        </w:numPr>
        <w:rPr>
          <w:rFonts w:asciiTheme="minorHAnsi" w:hAnsiTheme="minorHAnsi" w:cstheme="minorHAnsi"/>
          <w:iCs/>
          <w:sz w:val="22"/>
        </w:rPr>
      </w:pPr>
      <w:r w:rsidRPr="004969CE">
        <w:rPr>
          <w:rFonts w:asciiTheme="minorHAnsi" w:hAnsiTheme="minorHAnsi" w:cstheme="minorHAnsi"/>
          <w:iCs/>
          <w:sz w:val="22"/>
        </w:rPr>
        <w:t>Tomatoes grown in a greenhouse during the off-season require careful management of several factors to stimulate the ideal growing conditions (Pineda</w:t>
      </w:r>
      <w:r w:rsidR="00185534" w:rsidRPr="004969CE">
        <w:rPr>
          <w:rFonts w:asciiTheme="minorHAnsi" w:hAnsiTheme="minorHAnsi" w:cstheme="minorHAnsi"/>
          <w:iCs/>
          <w:sz w:val="22"/>
        </w:rPr>
        <w:t xml:space="preserve"> et al., </w:t>
      </w:r>
      <w:r w:rsidRPr="004969CE">
        <w:rPr>
          <w:rFonts w:asciiTheme="minorHAnsi" w:hAnsiTheme="minorHAnsi" w:cstheme="minorHAnsi"/>
          <w:iCs/>
          <w:sz w:val="22"/>
        </w:rPr>
        <w:t xml:space="preserve">2021). </w:t>
      </w:r>
      <w:r w:rsidR="001E7CA1" w:rsidRPr="004969CE">
        <w:rPr>
          <w:rFonts w:asciiTheme="minorHAnsi" w:hAnsiTheme="minorHAnsi" w:cstheme="minorHAnsi"/>
          <w:iCs/>
          <w:sz w:val="22"/>
        </w:rPr>
        <w:t xml:space="preserve">The greenhouse must provide for constant monitoring and sanitation in the event of pests and diseases so that the plants are put into isolation. </w:t>
      </w:r>
    </w:p>
    <w:p w14:paraId="7C8E5DCA" w14:textId="77777777" w:rsidR="00F141A9" w:rsidRPr="004969CE" w:rsidRDefault="00F141A9" w:rsidP="004969CE">
      <w:pPr>
        <w:pStyle w:val="BulletPoints"/>
        <w:numPr>
          <w:ilvl w:val="0"/>
          <w:numId w:val="8"/>
        </w:numPr>
        <w:rPr>
          <w:rFonts w:asciiTheme="minorHAnsi" w:hAnsiTheme="minorHAnsi" w:cstheme="minorHAnsi"/>
          <w:iCs/>
          <w:sz w:val="22"/>
        </w:rPr>
      </w:pPr>
      <w:r w:rsidRPr="004969CE">
        <w:rPr>
          <w:rFonts w:asciiTheme="minorHAnsi" w:hAnsiTheme="minorHAnsi" w:cstheme="minorHAnsi"/>
          <w:iCs/>
          <w:sz w:val="22"/>
        </w:rPr>
        <w:t xml:space="preserve">The optimal environment conditions recommended for tomato growth inside a greenhouse must contain a 70/30 shade of nylon cloth with high roofing to allow open pollination by wind, honeybees, and butterflies. </w:t>
      </w:r>
    </w:p>
    <w:p w14:paraId="46CBA7E6" w14:textId="3E4728B1" w:rsidR="00F141A9" w:rsidRPr="004969CE" w:rsidRDefault="00F141A9" w:rsidP="004969CE">
      <w:pPr>
        <w:pStyle w:val="BulletPoints"/>
        <w:numPr>
          <w:ilvl w:val="0"/>
          <w:numId w:val="8"/>
        </w:numPr>
        <w:rPr>
          <w:rFonts w:asciiTheme="minorHAnsi" w:hAnsiTheme="minorHAnsi" w:cstheme="minorHAnsi"/>
          <w:iCs/>
          <w:sz w:val="22"/>
        </w:rPr>
      </w:pPr>
      <w:r w:rsidRPr="004969CE">
        <w:rPr>
          <w:rFonts w:asciiTheme="minorHAnsi" w:hAnsiTheme="minorHAnsi" w:cstheme="minorHAnsi"/>
          <w:iCs/>
          <w:sz w:val="22"/>
        </w:rPr>
        <w:t xml:space="preserve">Tomatoes thrive in daytime temperatures of (18 - 28ºC) and nighttime temperatures of (15-22ºC) (Hoffman, 1932). Relative humidity must be kept around 60-70% to prevent diseases like powdery mildew with adequate lighting to ensure tomatoes receive 14-18 hours of light per day </w:t>
      </w:r>
      <w:r w:rsidRPr="004969CE">
        <w:rPr>
          <w:rFonts w:asciiTheme="minorHAnsi" w:hAnsiTheme="minorHAnsi" w:cstheme="minorHAnsi"/>
          <w:iCs/>
          <w:sz w:val="22"/>
        </w:rPr>
        <w:fldChar w:fldCharType="begin"/>
      </w:r>
      <w:r w:rsidR="005B4C9D" w:rsidRPr="004969CE">
        <w:rPr>
          <w:rFonts w:asciiTheme="minorHAnsi" w:hAnsiTheme="minorHAnsi" w:cstheme="minorHAnsi"/>
          <w:iCs/>
          <w:sz w:val="22"/>
        </w:rPr>
        <w:instrText xml:space="preserve"> ADDIN EN.CITE &lt;EndNote&gt;&lt;Cite&gt;&lt;Author&gt;Jones&lt;/Author&gt;&lt;Year&gt;2013&lt;/Year&gt;&lt;RecNum&gt;176&lt;/RecNum&gt;&lt;DisplayText&gt;(Jones 2013)&lt;/DisplayText&gt;&lt;record&gt;&lt;rec-number&gt;176&lt;/rec-number&gt;&lt;foreign-keys&gt;&lt;key app="EN" db-id="xf9rwp0zu0rpdaedpswxafpaf5ee5wtp5wse" timestamp="1721042908" guid="4b4a0079-ca54-45c4-9a9e-eb64bfaebc1f"&gt;176&lt;/key&gt;&lt;/foreign-keys&gt;&lt;ref-type name="Book"&gt;6&lt;/ref-type&gt;&lt;contributors&gt;&lt;authors&gt;&lt;author&gt;Jones, J Benton&lt;/author&gt;&lt;/authors&gt;&lt;/contributors&gt;&lt;titles&gt;&lt;title&gt;Instructional Guide for Growing Tomatoes in the Home Garden and Greenhouse&lt;/title&gt;&lt;/titles&gt;&lt;dates&gt;&lt;year&gt;2013&lt;/year&gt;&lt;/dates&gt;&lt;publisher&gt;GroSystems, Incorporated&lt;/publisher&gt;&lt;isbn&gt;1463727119&lt;/isbn&gt;&lt;urls&gt;&lt;/urls&gt;&lt;/record&gt;&lt;/Cite&gt;&lt;/EndNote&gt;</w:instrText>
      </w:r>
      <w:r w:rsidRPr="004969CE">
        <w:rPr>
          <w:rFonts w:asciiTheme="minorHAnsi" w:hAnsiTheme="minorHAnsi" w:cstheme="minorHAnsi"/>
          <w:iCs/>
          <w:sz w:val="22"/>
        </w:rPr>
        <w:fldChar w:fldCharType="separate"/>
      </w:r>
      <w:r w:rsidR="005B4C9D" w:rsidRPr="004969CE">
        <w:rPr>
          <w:rFonts w:asciiTheme="minorHAnsi" w:hAnsiTheme="minorHAnsi" w:cstheme="minorHAnsi"/>
          <w:iCs/>
          <w:noProof/>
          <w:sz w:val="22"/>
        </w:rPr>
        <w:t>(Jones 2013)</w:t>
      </w:r>
      <w:r w:rsidRPr="004969CE">
        <w:rPr>
          <w:rFonts w:asciiTheme="minorHAnsi" w:hAnsiTheme="minorHAnsi" w:cstheme="minorHAnsi"/>
          <w:iCs/>
          <w:sz w:val="22"/>
        </w:rPr>
        <w:fldChar w:fldCharType="end"/>
      </w:r>
      <w:r w:rsidRPr="004969CE">
        <w:rPr>
          <w:rFonts w:asciiTheme="minorHAnsi" w:hAnsiTheme="minorHAnsi" w:cstheme="minorHAnsi"/>
          <w:iCs/>
          <w:sz w:val="22"/>
        </w:rPr>
        <w:t>.</w:t>
      </w:r>
    </w:p>
    <w:p w14:paraId="76C590FF" w14:textId="464CFBBC" w:rsidR="00611C4B" w:rsidRPr="004969CE" w:rsidRDefault="00611C4B" w:rsidP="004969CE">
      <w:pPr>
        <w:pStyle w:val="BulletPoints"/>
        <w:numPr>
          <w:ilvl w:val="0"/>
          <w:numId w:val="8"/>
        </w:numPr>
        <w:rPr>
          <w:rFonts w:asciiTheme="minorHAnsi" w:hAnsiTheme="minorHAnsi" w:cstheme="minorHAnsi"/>
          <w:iCs/>
          <w:sz w:val="22"/>
        </w:rPr>
      </w:pPr>
      <w:r w:rsidRPr="004969CE">
        <w:rPr>
          <w:rFonts w:asciiTheme="minorHAnsi" w:hAnsiTheme="minorHAnsi" w:cstheme="minorHAnsi"/>
          <w:iCs/>
          <w:sz w:val="22"/>
        </w:rPr>
        <w:t xml:space="preserve">Soil is the most crucial element/medium to examine before sowing. It is recommended that a ratio of 2:2:1, loam soil, compost, and river sand, respectively, is ideal for tomato growth with a slightly acidic pH of 6.5. The soil and seeds must be heat treated at 50°C for 2.5 hours and 25 minutes, respectively, to guarantee the viability of seeds with a 100% germination rate in an average of 3 days. </w:t>
      </w:r>
    </w:p>
    <w:p w14:paraId="3646ED8C" w14:textId="3F2BA524" w:rsidR="001E7CA1" w:rsidRPr="004969CE" w:rsidRDefault="00611C4B" w:rsidP="004969CE">
      <w:pPr>
        <w:pStyle w:val="BulletPoints"/>
        <w:numPr>
          <w:ilvl w:val="0"/>
          <w:numId w:val="8"/>
        </w:numPr>
        <w:rPr>
          <w:rFonts w:asciiTheme="minorHAnsi" w:hAnsiTheme="minorHAnsi" w:cstheme="minorHAnsi"/>
          <w:iCs/>
          <w:sz w:val="22"/>
        </w:rPr>
      </w:pPr>
      <w:r w:rsidRPr="004969CE">
        <w:rPr>
          <w:rFonts w:asciiTheme="minorHAnsi" w:hAnsiTheme="minorHAnsi" w:cstheme="minorHAnsi"/>
          <w:iCs/>
          <w:sz w:val="22"/>
        </w:rPr>
        <w:t>The impacts of depths (subsurface, ground level, submergence) and duration (24, 48, 72 hours</w:t>
      </w:r>
      <w:r w:rsidR="001E7CA1" w:rsidRPr="004969CE">
        <w:rPr>
          <w:rFonts w:asciiTheme="minorHAnsi" w:hAnsiTheme="minorHAnsi" w:cstheme="minorHAnsi"/>
          <w:iCs/>
          <w:sz w:val="22"/>
        </w:rPr>
        <w:t xml:space="preserve">) </w:t>
      </w:r>
      <w:r w:rsidRPr="004969CE">
        <w:rPr>
          <w:rFonts w:asciiTheme="minorHAnsi" w:hAnsiTheme="minorHAnsi" w:cstheme="minorHAnsi"/>
          <w:iCs/>
          <w:sz w:val="22"/>
        </w:rPr>
        <w:t xml:space="preserve">of waterlogging were obtained through two-way </w:t>
      </w:r>
      <w:r w:rsidRPr="004969CE">
        <w:rPr>
          <w:rFonts w:asciiTheme="minorHAnsi" w:hAnsiTheme="minorHAnsi" w:cstheme="minorHAnsi"/>
          <w:iCs/>
          <w:sz w:val="22"/>
        </w:rPr>
        <w:t>factorial analysis using SPSS software to determine how significant were duration, depth level</w:t>
      </w:r>
      <w:r w:rsidR="001E7CA1" w:rsidRPr="004969CE">
        <w:rPr>
          <w:rFonts w:asciiTheme="minorHAnsi" w:hAnsiTheme="minorHAnsi" w:cstheme="minorHAnsi"/>
          <w:iCs/>
          <w:sz w:val="22"/>
        </w:rPr>
        <w:t>,</w:t>
      </w:r>
      <w:r w:rsidRPr="004969CE">
        <w:rPr>
          <w:rFonts w:asciiTheme="minorHAnsi" w:hAnsiTheme="minorHAnsi" w:cstheme="minorHAnsi"/>
          <w:iCs/>
          <w:sz w:val="22"/>
        </w:rPr>
        <w:t xml:space="preserve"> and their interactions on the </w:t>
      </w:r>
      <w:r w:rsidR="001E7CA1" w:rsidRPr="004969CE">
        <w:rPr>
          <w:rFonts w:asciiTheme="minorHAnsi" w:hAnsiTheme="minorHAnsi" w:cstheme="minorHAnsi"/>
          <w:iCs/>
          <w:sz w:val="22"/>
        </w:rPr>
        <w:t xml:space="preserve">growth </w:t>
      </w:r>
      <w:r w:rsidR="000D554E" w:rsidRPr="004969CE">
        <w:rPr>
          <w:rFonts w:asciiTheme="minorHAnsi" w:hAnsiTheme="minorHAnsi" w:cstheme="minorHAnsi"/>
          <w:iCs/>
          <w:sz w:val="22"/>
        </w:rPr>
        <w:t xml:space="preserve">and quality </w:t>
      </w:r>
      <w:r w:rsidR="001E7CA1" w:rsidRPr="004969CE">
        <w:rPr>
          <w:rFonts w:asciiTheme="minorHAnsi" w:hAnsiTheme="minorHAnsi" w:cstheme="minorHAnsi"/>
          <w:iCs/>
          <w:sz w:val="22"/>
        </w:rPr>
        <w:t>characteristics.</w:t>
      </w:r>
      <w:r w:rsidRPr="004969CE">
        <w:rPr>
          <w:rFonts w:asciiTheme="minorHAnsi" w:hAnsiTheme="minorHAnsi" w:cstheme="minorHAnsi"/>
          <w:iCs/>
          <w:sz w:val="22"/>
        </w:rPr>
        <w:t xml:space="preserve"> </w:t>
      </w:r>
    </w:p>
    <w:p w14:paraId="473FB878" w14:textId="2FD9FD74" w:rsidR="001E7CA1" w:rsidRPr="004969CE" w:rsidRDefault="00611C4B" w:rsidP="004969CE">
      <w:pPr>
        <w:pStyle w:val="BulletPoints"/>
        <w:numPr>
          <w:ilvl w:val="0"/>
          <w:numId w:val="8"/>
        </w:numPr>
        <w:rPr>
          <w:rFonts w:asciiTheme="minorHAnsi" w:hAnsiTheme="minorHAnsi" w:cstheme="minorHAnsi"/>
          <w:iCs/>
          <w:sz w:val="22"/>
        </w:rPr>
      </w:pPr>
      <w:r w:rsidRPr="004969CE">
        <w:rPr>
          <w:rFonts w:asciiTheme="minorHAnsi" w:hAnsiTheme="minorHAnsi" w:cstheme="minorHAnsi"/>
          <w:iCs/>
          <w:sz w:val="22"/>
        </w:rPr>
        <w:t xml:space="preserve">There were </w:t>
      </w:r>
      <w:r w:rsidR="000D554E" w:rsidRPr="004969CE">
        <w:rPr>
          <w:rFonts w:asciiTheme="minorHAnsi" w:hAnsiTheme="minorHAnsi" w:cstheme="minorHAnsi"/>
          <w:iCs/>
          <w:sz w:val="22"/>
        </w:rPr>
        <w:t>9</w:t>
      </w:r>
      <w:r w:rsidRPr="004969CE">
        <w:rPr>
          <w:rFonts w:asciiTheme="minorHAnsi" w:hAnsiTheme="minorHAnsi" w:cstheme="minorHAnsi"/>
          <w:iCs/>
          <w:sz w:val="22"/>
        </w:rPr>
        <w:t xml:space="preserve"> characteristics of dependent variables analysed and characterised as growth, yields, and quality variables. The plant height, primary branches, and</w:t>
      </w:r>
      <w:r w:rsidR="002E3B76" w:rsidRPr="004969CE">
        <w:rPr>
          <w:rFonts w:asciiTheme="minorHAnsi" w:hAnsiTheme="minorHAnsi" w:cstheme="minorHAnsi"/>
          <w:iCs/>
          <w:sz w:val="22"/>
        </w:rPr>
        <w:t xml:space="preserve"> </w:t>
      </w:r>
      <w:r w:rsidRPr="004969CE">
        <w:rPr>
          <w:rFonts w:asciiTheme="minorHAnsi" w:hAnsiTheme="minorHAnsi" w:cstheme="minorHAnsi"/>
          <w:iCs/>
          <w:sz w:val="22"/>
        </w:rPr>
        <w:t xml:space="preserve">flower clusters were examined for growth and development characteristics. </w:t>
      </w:r>
    </w:p>
    <w:p w14:paraId="06CA2087" w14:textId="161DD825" w:rsidR="003038F7" w:rsidRPr="004969CE" w:rsidRDefault="00611C4B" w:rsidP="004969CE">
      <w:pPr>
        <w:pStyle w:val="BulletPoints"/>
        <w:numPr>
          <w:ilvl w:val="0"/>
          <w:numId w:val="8"/>
        </w:numPr>
        <w:rPr>
          <w:rFonts w:asciiTheme="minorHAnsi" w:hAnsiTheme="minorHAnsi" w:cstheme="minorHAnsi"/>
          <w:iCs/>
          <w:sz w:val="22"/>
        </w:rPr>
      </w:pPr>
      <w:r w:rsidRPr="004969CE">
        <w:rPr>
          <w:rFonts w:asciiTheme="minorHAnsi" w:hAnsiTheme="minorHAnsi" w:cstheme="minorHAnsi"/>
          <w:iCs/>
          <w:sz w:val="22"/>
        </w:rPr>
        <w:t xml:space="preserve">After ANOVA analysis, it can be </w:t>
      </w:r>
      <w:r w:rsidR="001E7CA1" w:rsidRPr="004969CE">
        <w:rPr>
          <w:rFonts w:asciiTheme="minorHAnsi" w:hAnsiTheme="minorHAnsi" w:cstheme="minorHAnsi"/>
          <w:iCs/>
          <w:sz w:val="22"/>
        </w:rPr>
        <w:t xml:space="preserve">drawn </w:t>
      </w:r>
      <w:r w:rsidRPr="004969CE">
        <w:rPr>
          <w:rFonts w:asciiTheme="minorHAnsi" w:hAnsiTheme="minorHAnsi" w:cstheme="minorHAnsi"/>
          <w:iCs/>
          <w:sz w:val="22"/>
        </w:rPr>
        <w:t xml:space="preserve">that both the duration of waterlogging and its depth significantly affect </w:t>
      </w:r>
      <w:r w:rsidR="00A7509E" w:rsidRPr="004969CE">
        <w:rPr>
          <w:rFonts w:asciiTheme="minorHAnsi" w:hAnsiTheme="minorHAnsi" w:cstheme="minorHAnsi"/>
          <w:iCs/>
          <w:sz w:val="22"/>
        </w:rPr>
        <w:t xml:space="preserve">the </w:t>
      </w:r>
      <w:r w:rsidR="002E3B76" w:rsidRPr="004969CE">
        <w:rPr>
          <w:rFonts w:asciiTheme="minorHAnsi" w:hAnsiTheme="minorHAnsi" w:cstheme="minorHAnsi"/>
          <w:iCs/>
          <w:sz w:val="22"/>
        </w:rPr>
        <w:t>growth rates</w:t>
      </w:r>
      <w:r w:rsidRPr="004969CE">
        <w:rPr>
          <w:rFonts w:asciiTheme="minorHAnsi" w:hAnsiTheme="minorHAnsi" w:cstheme="minorHAnsi"/>
          <w:iCs/>
          <w:sz w:val="22"/>
        </w:rPr>
        <w:t xml:space="preserve"> of tomato plants, with duration having a significant effect</w:t>
      </w:r>
      <w:r w:rsidR="00E52DEF" w:rsidRPr="004969CE">
        <w:rPr>
          <w:rFonts w:asciiTheme="minorHAnsi" w:hAnsiTheme="minorHAnsi" w:cstheme="minorHAnsi"/>
          <w:iCs/>
          <w:sz w:val="22"/>
        </w:rPr>
        <w:t xml:space="preserve"> (Figure 3)</w:t>
      </w:r>
      <w:r w:rsidRPr="004969CE">
        <w:rPr>
          <w:rFonts w:asciiTheme="minorHAnsi" w:hAnsiTheme="minorHAnsi" w:cstheme="minorHAnsi"/>
          <w:iCs/>
          <w:sz w:val="22"/>
        </w:rPr>
        <w:t xml:space="preserve">. </w:t>
      </w:r>
    </w:p>
    <w:p w14:paraId="4066148E" w14:textId="0585BA1F" w:rsidR="003038F7" w:rsidRPr="004969CE" w:rsidRDefault="004969CE" w:rsidP="004969CE">
      <w:pPr>
        <w:pStyle w:val="BulletPoints"/>
        <w:keepNext/>
        <w:tabs>
          <w:tab w:val="clear" w:pos="720"/>
        </w:tabs>
        <w:spacing w:after="0"/>
        <w:ind w:left="0" w:firstLine="0"/>
        <w:jc w:val="center"/>
        <w:rPr>
          <w:rFonts w:asciiTheme="minorHAnsi" w:hAnsiTheme="minorHAnsi" w:cstheme="minorHAnsi"/>
          <w:sz w:val="22"/>
        </w:rPr>
      </w:pPr>
      <w:r w:rsidRPr="004969CE">
        <w:rPr>
          <w:rFonts w:asciiTheme="minorHAnsi" w:hAnsiTheme="minorHAnsi" w:cstheme="minorHAnsi"/>
          <w:noProof/>
          <w:szCs w:val="24"/>
        </w:rPr>
        <w:drawing>
          <wp:inline distT="0" distB="0" distL="0" distR="0" wp14:anchorId="7641DB99" wp14:editId="2CFA2166">
            <wp:extent cx="3111335" cy="1889290"/>
            <wp:effectExtent l="0" t="0" r="0" b="0"/>
            <wp:docPr id="13488372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9760" b="6726"/>
                    <a:stretch/>
                  </pic:blipFill>
                  <pic:spPr bwMode="auto">
                    <a:xfrm>
                      <a:off x="0" y="0"/>
                      <a:ext cx="3125743" cy="1898039"/>
                    </a:xfrm>
                    <a:prstGeom prst="rect">
                      <a:avLst/>
                    </a:prstGeom>
                    <a:noFill/>
                    <a:ln>
                      <a:noFill/>
                    </a:ln>
                    <a:extLst>
                      <a:ext uri="{53640926-AAD7-44D8-BBD7-CCE9431645EC}">
                        <a14:shadowObscured xmlns:a14="http://schemas.microsoft.com/office/drawing/2010/main"/>
                      </a:ext>
                    </a:extLst>
                  </pic:spPr>
                </pic:pic>
              </a:graphicData>
            </a:graphic>
          </wp:inline>
        </w:drawing>
      </w:r>
    </w:p>
    <w:p w14:paraId="49DD9D8C" w14:textId="44A9314B" w:rsidR="003038F7" w:rsidRPr="004969CE" w:rsidRDefault="003038F7" w:rsidP="004969CE">
      <w:pPr>
        <w:pStyle w:val="Caption"/>
        <w:spacing w:after="0"/>
        <w:jc w:val="both"/>
        <w:rPr>
          <w:rFonts w:asciiTheme="minorHAnsi" w:hAnsiTheme="minorHAnsi" w:cstheme="minorHAnsi"/>
          <w:color w:val="auto"/>
          <w:sz w:val="20"/>
          <w:szCs w:val="20"/>
          <w:lang w:val="en-FJ"/>
        </w:rPr>
      </w:pPr>
      <w:r w:rsidRPr="004969CE">
        <w:rPr>
          <w:rFonts w:asciiTheme="minorHAnsi" w:hAnsiTheme="minorHAnsi" w:cstheme="minorHAnsi"/>
          <w:color w:val="auto"/>
          <w:sz w:val="20"/>
          <w:szCs w:val="20"/>
        </w:rPr>
        <w:t xml:space="preserve">Figure </w:t>
      </w:r>
      <w:r w:rsidRPr="004969CE">
        <w:rPr>
          <w:rFonts w:asciiTheme="minorHAnsi" w:hAnsiTheme="minorHAnsi" w:cstheme="minorHAnsi"/>
          <w:color w:val="auto"/>
          <w:sz w:val="20"/>
          <w:szCs w:val="20"/>
        </w:rPr>
        <w:fldChar w:fldCharType="begin"/>
      </w:r>
      <w:r w:rsidRPr="004969CE">
        <w:rPr>
          <w:rFonts w:asciiTheme="minorHAnsi" w:hAnsiTheme="minorHAnsi" w:cstheme="minorHAnsi"/>
          <w:color w:val="auto"/>
          <w:sz w:val="20"/>
          <w:szCs w:val="20"/>
        </w:rPr>
        <w:instrText xml:space="preserve"> SEQ Figure \* ARABIC </w:instrText>
      </w:r>
      <w:r w:rsidRPr="004969CE">
        <w:rPr>
          <w:rFonts w:asciiTheme="minorHAnsi" w:hAnsiTheme="minorHAnsi" w:cstheme="minorHAnsi"/>
          <w:color w:val="auto"/>
          <w:sz w:val="20"/>
          <w:szCs w:val="20"/>
        </w:rPr>
        <w:fldChar w:fldCharType="separate"/>
      </w:r>
      <w:r w:rsidR="003A05F5">
        <w:rPr>
          <w:rFonts w:asciiTheme="minorHAnsi" w:hAnsiTheme="minorHAnsi" w:cstheme="minorHAnsi"/>
          <w:noProof/>
          <w:color w:val="auto"/>
          <w:sz w:val="20"/>
          <w:szCs w:val="20"/>
        </w:rPr>
        <w:t>3</w:t>
      </w:r>
      <w:r w:rsidRPr="004969CE">
        <w:rPr>
          <w:rFonts w:asciiTheme="minorHAnsi" w:hAnsiTheme="minorHAnsi" w:cstheme="minorHAnsi"/>
          <w:color w:val="auto"/>
          <w:sz w:val="20"/>
          <w:szCs w:val="20"/>
        </w:rPr>
        <w:fldChar w:fldCharType="end"/>
      </w:r>
      <w:r w:rsidRPr="004969CE">
        <w:rPr>
          <w:rFonts w:asciiTheme="minorHAnsi" w:hAnsiTheme="minorHAnsi" w:cstheme="minorHAnsi"/>
          <w:color w:val="auto"/>
          <w:sz w:val="20"/>
          <w:szCs w:val="20"/>
        </w:rPr>
        <w:t xml:space="preserve">: </w:t>
      </w:r>
      <w:r w:rsidR="00F107C2" w:rsidRPr="004969CE">
        <w:rPr>
          <w:rFonts w:asciiTheme="minorHAnsi" w:hAnsiTheme="minorHAnsi" w:cstheme="minorHAnsi"/>
          <w:color w:val="auto"/>
          <w:sz w:val="20"/>
          <w:szCs w:val="20"/>
          <w:lang w:val="en-FJ"/>
        </w:rPr>
        <w:t xml:space="preserve">Mean ± SE </w:t>
      </w:r>
      <w:r w:rsidR="002E3B76" w:rsidRPr="004969CE">
        <w:rPr>
          <w:rFonts w:asciiTheme="minorHAnsi" w:hAnsiTheme="minorHAnsi" w:cstheme="minorHAnsi"/>
          <w:color w:val="auto"/>
          <w:sz w:val="20"/>
          <w:szCs w:val="20"/>
          <w:lang w:val="en-FJ"/>
        </w:rPr>
        <w:t>Growth rates</w:t>
      </w:r>
      <w:r w:rsidR="00F107C2" w:rsidRPr="004969CE">
        <w:rPr>
          <w:rFonts w:asciiTheme="minorHAnsi" w:hAnsiTheme="minorHAnsi" w:cstheme="minorHAnsi"/>
          <w:color w:val="auto"/>
          <w:sz w:val="20"/>
          <w:szCs w:val="20"/>
          <w:lang w:val="en-FJ"/>
        </w:rPr>
        <w:t xml:space="preserve"> of tomatoes subjected to waterlogging duration and depths calculated at 95% CI.  Both factors significantly affect </w:t>
      </w:r>
      <w:r w:rsidR="002E3B76" w:rsidRPr="004969CE">
        <w:rPr>
          <w:rFonts w:asciiTheme="minorHAnsi" w:hAnsiTheme="minorHAnsi" w:cstheme="minorHAnsi"/>
          <w:color w:val="auto"/>
          <w:sz w:val="20"/>
          <w:szCs w:val="20"/>
          <w:lang w:val="en-FJ"/>
        </w:rPr>
        <w:t>growth rates</w:t>
      </w:r>
      <w:r w:rsidR="00F107C2" w:rsidRPr="004969CE">
        <w:rPr>
          <w:rFonts w:asciiTheme="minorHAnsi" w:hAnsiTheme="minorHAnsi" w:cstheme="minorHAnsi"/>
          <w:color w:val="auto"/>
          <w:sz w:val="20"/>
          <w:szCs w:val="20"/>
          <w:lang w:val="en-FJ"/>
        </w:rPr>
        <w:t xml:space="preserve">, with duration having a powerful effect. F- test (f, </w:t>
      </w:r>
      <w:proofErr w:type="spellStart"/>
      <w:r w:rsidR="00F107C2" w:rsidRPr="004969CE">
        <w:rPr>
          <w:rFonts w:asciiTheme="minorHAnsi" w:hAnsiTheme="minorHAnsi" w:cstheme="minorHAnsi"/>
          <w:color w:val="auto"/>
          <w:sz w:val="20"/>
          <w:szCs w:val="20"/>
          <w:lang w:val="en-FJ"/>
        </w:rPr>
        <w:t>df</w:t>
      </w:r>
      <w:proofErr w:type="spellEnd"/>
      <w:r w:rsidR="00F107C2" w:rsidRPr="004969CE">
        <w:rPr>
          <w:rFonts w:asciiTheme="minorHAnsi" w:hAnsiTheme="minorHAnsi" w:cstheme="minorHAnsi"/>
          <w:color w:val="auto"/>
          <w:sz w:val="20"/>
          <w:szCs w:val="20"/>
          <w:lang w:val="en-FJ"/>
        </w:rPr>
        <w:t>) (34.17,2) p-value=0.001.</w:t>
      </w:r>
    </w:p>
    <w:p w14:paraId="0C700A29" w14:textId="77777777" w:rsidR="00F107C2" w:rsidRPr="004969CE" w:rsidRDefault="00F107C2" w:rsidP="004969CE">
      <w:pPr>
        <w:rPr>
          <w:rFonts w:asciiTheme="minorHAnsi" w:hAnsiTheme="minorHAnsi" w:cstheme="minorHAnsi"/>
          <w:lang w:val="en-FJ"/>
        </w:rPr>
      </w:pPr>
    </w:p>
    <w:p w14:paraId="1FCB0D1F" w14:textId="48190BC3" w:rsidR="004969CE" w:rsidRPr="004969CE" w:rsidRDefault="00611C4B" w:rsidP="004969CE">
      <w:pPr>
        <w:pStyle w:val="BulletPoints"/>
        <w:numPr>
          <w:ilvl w:val="0"/>
          <w:numId w:val="8"/>
        </w:numPr>
        <w:rPr>
          <w:rFonts w:asciiTheme="minorHAnsi" w:hAnsiTheme="minorHAnsi" w:cstheme="minorHAnsi"/>
          <w:iCs/>
          <w:sz w:val="22"/>
        </w:rPr>
      </w:pPr>
      <w:r w:rsidRPr="004969CE">
        <w:rPr>
          <w:rFonts w:asciiTheme="minorHAnsi" w:hAnsiTheme="minorHAnsi" w:cstheme="minorHAnsi"/>
          <w:iCs/>
          <w:sz w:val="22"/>
        </w:rPr>
        <w:t xml:space="preserve">A Duncan's multiple range test using SPSS software indicated that the </w:t>
      </w:r>
      <w:r w:rsidR="0087061D" w:rsidRPr="004969CE">
        <w:rPr>
          <w:rFonts w:asciiTheme="minorHAnsi" w:hAnsiTheme="minorHAnsi" w:cstheme="minorHAnsi"/>
          <w:iCs/>
          <w:sz w:val="22"/>
        </w:rPr>
        <w:t>s</w:t>
      </w:r>
      <w:r w:rsidRPr="004969CE">
        <w:rPr>
          <w:rFonts w:asciiTheme="minorHAnsi" w:hAnsiTheme="minorHAnsi" w:cstheme="minorHAnsi"/>
          <w:iCs/>
          <w:sz w:val="22"/>
        </w:rPr>
        <w:t xml:space="preserve">ubmergence depth </w:t>
      </w:r>
      <w:r w:rsidR="002E3B76" w:rsidRPr="004969CE">
        <w:rPr>
          <w:rFonts w:asciiTheme="minorHAnsi" w:hAnsiTheme="minorHAnsi" w:cstheme="minorHAnsi"/>
          <w:iCs/>
          <w:sz w:val="22"/>
        </w:rPr>
        <w:t>was</w:t>
      </w:r>
      <w:r w:rsidRPr="004969CE">
        <w:rPr>
          <w:rFonts w:asciiTheme="minorHAnsi" w:hAnsiTheme="minorHAnsi" w:cstheme="minorHAnsi"/>
          <w:iCs/>
          <w:sz w:val="22"/>
        </w:rPr>
        <w:t xml:space="preserve"> significantly higher for </w:t>
      </w:r>
      <w:r w:rsidR="000D554E" w:rsidRPr="004969CE">
        <w:rPr>
          <w:rFonts w:asciiTheme="minorHAnsi" w:hAnsiTheme="minorHAnsi" w:cstheme="minorHAnsi"/>
          <w:iCs/>
          <w:sz w:val="22"/>
        </w:rPr>
        <w:t xml:space="preserve">the number of </w:t>
      </w:r>
      <w:r w:rsidRPr="004969CE">
        <w:rPr>
          <w:rFonts w:asciiTheme="minorHAnsi" w:hAnsiTheme="minorHAnsi" w:cstheme="minorHAnsi"/>
          <w:iCs/>
          <w:sz w:val="22"/>
        </w:rPr>
        <w:t xml:space="preserve">primary branches than the other treatment depths. </w:t>
      </w:r>
      <w:r w:rsidR="002272C1" w:rsidRPr="004969CE">
        <w:rPr>
          <w:rFonts w:asciiTheme="minorHAnsi" w:hAnsiTheme="minorHAnsi" w:cstheme="minorHAnsi"/>
          <w:iCs/>
          <w:sz w:val="22"/>
        </w:rPr>
        <w:t xml:space="preserve">These data correspond to </w:t>
      </w:r>
      <w:r w:rsidR="004969CE" w:rsidRPr="004969CE">
        <w:rPr>
          <w:rFonts w:asciiTheme="minorHAnsi" w:hAnsiTheme="minorHAnsi" w:cstheme="minorHAnsi"/>
          <w:color w:val="000000"/>
          <w:sz w:val="22"/>
          <w:shd w:val="clear" w:color="auto" w:fill="FFFFFF"/>
        </w:rPr>
        <w:t xml:space="preserve"> low oxygen escape syndrome (LOES) which implies shoot elongation in order to restore leaf contact with the atmosphere and offers plants better chances to survive under shallow waterlogging, hence, shoot de-submergence is easily plausible </w:t>
      </w:r>
      <w:r w:rsidR="004969CE" w:rsidRPr="004969CE">
        <w:rPr>
          <w:rFonts w:asciiTheme="minorHAnsi" w:hAnsiTheme="minorHAnsi" w:cstheme="minorHAnsi"/>
          <w:color w:val="000000"/>
          <w:sz w:val="22"/>
          <w:shd w:val="clear" w:color="auto" w:fill="FFFFFF"/>
        </w:rPr>
        <w:fldChar w:fldCharType="begin"/>
      </w:r>
      <w:r w:rsidR="004969CE" w:rsidRPr="004969CE">
        <w:rPr>
          <w:rFonts w:asciiTheme="minorHAnsi" w:hAnsiTheme="minorHAnsi" w:cstheme="minorHAnsi"/>
          <w:color w:val="000000"/>
          <w:sz w:val="22"/>
          <w:shd w:val="clear" w:color="auto" w:fill="FFFFFF"/>
        </w:rPr>
        <w:instrText xml:space="preserve"> ADDIN EN.CITE &lt;EndNote&gt;&lt;Cite&gt;&lt;Author&gt;Bailey-Serres&lt;/Author&gt;&lt;Year&gt;2012&lt;/Year&gt;&lt;RecNum&gt;52&lt;/RecNum&gt;&lt;DisplayText&gt;(Bailey-Serres et al. 2012)&lt;/DisplayText&gt;&lt;record&gt;&lt;rec-number&gt;52&lt;/rec-number&gt;&lt;foreign-keys&gt;&lt;key app="EN" db-id="xf9rwp0zu0rpdaedpswxafpaf5ee5wtp5wse" timestamp="0" guid="79e39814-e416-4927-a69d-632a80b79f5e"&gt;52&lt;/key&gt;&lt;/foreign-keys&gt;&lt;ref-type name="Journal Article"&gt;17&lt;/ref-type&gt;&lt;contributors&gt;&lt;authors&gt;&lt;author&gt;Bailey-Serres, J.&lt;/author&gt;&lt;author&gt;Lee, S. C.&lt;/author&gt;&lt;author&gt;Brinton, E.&lt;/author&gt;&lt;/authors&gt;&lt;/contributors&gt;&lt;auth-address&gt;Center for Plant Cell Biology, Department of Botany and Plant Science, University of California, Riverside, California 92521-0124, USA. serres@ucr.edu&lt;/auth-address&gt;&lt;titles&gt;&lt;title&gt;Waterproofing crops: effective flooding survival strategies&lt;/title&gt;&lt;secondary-title&gt;Plant Physiol&lt;/secondary-title&gt;&lt;/titles&gt;&lt;periodical&gt;&lt;full-title&gt;Plant Physiol&lt;/full-title&gt;&lt;/periodical&gt;&lt;pages&gt;1698-709&lt;/pages&gt;&lt;volume&gt;160&lt;/volume&gt;&lt;number&gt;4&lt;/number&gt;&lt;edition&gt;2012/10/25&lt;/edition&gt;&lt;keywords&gt;&lt;keyword&gt;Adaptation, Physiological/drug effects/genetics&lt;/keyword&gt;&lt;keyword&gt;Crops, Agricultural/anatomy &amp;amp; histology/genetics/growth &amp;amp; development/*physiology&lt;/keyword&gt;&lt;keyword&gt;Ethylenes/pharmacology&lt;/keyword&gt;&lt;keyword&gt;*Floods&lt;/keyword&gt;&lt;keyword&gt;Oxygen/pharmacology&lt;/keyword&gt;&lt;keyword&gt;Signal Transduction/drug effects/genetics&lt;/keyword&gt;&lt;/keywords&gt;&lt;dates&gt;&lt;year&gt;2012&lt;/year&gt;&lt;pub-dates&gt;&lt;date&gt;Dec&lt;/date&gt;&lt;/pub-dates&gt;&lt;/dates&gt;&lt;isbn&gt;1532-2548 (Electronic)&amp;#xD;0032-0889 (Print)&amp;#xD;0032-0889 (Linking)&lt;/isbn&gt;&lt;accession-num&gt;23093359&lt;/accession-num&gt;&lt;urls&gt;&lt;related-urls&gt;&lt;url&gt;https://www.ncbi.nlm.nih.gov/pubmed/23093359&lt;/url&gt;&lt;/related-urls&gt;&lt;/urls&gt;&lt;custom2&gt;PMC3510103&lt;/custom2&gt;&lt;electronic-resource-num&gt;10.1104/pp.112.208173&lt;/electronic-resource-num&gt;&lt;access-date&gt;4/13/2022&lt;/access-date&gt;&lt;/record&gt;&lt;/Cite&gt;&lt;/EndNote&gt;</w:instrText>
      </w:r>
      <w:r w:rsidR="004969CE" w:rsidRPr="004969CE">
        <w:rPr>
          <w:rFonts w:asciiTheme="minorHAnsi" w:hAnsiTheme="minorHAnsi" w:cstheme="minorHAnsi"/>
          <w:color w:val="000000"/>
          <w:sz w:val="22"/>
          <w:shd w:val="clear" w:color="auto" w:fill="FFFFFF"/>
        </w:rPr>
        <w:fldChar w:fldCharType="separate"/>
      </w:r>
      <w:r w:rsidR="004969CE" w:rsidRPr="004969CE">
        <w:rPr>
          <w:rFonts w:asciiTheme="minorHAnsi" w:hAnsiTheme="minorHAnsi" w:cstheme="minorHAnsi"/>
          <w:noProof/>
          <w:color w:val="000000"/>
          <w:sz w:val="22"/>
          <w:shd w:val="clear" w:color="auto" w:fill="FFFFFF"/>
        </w:rPr>
        <w:t>(Bailey-Serres et al. 2012)</w:t>
      </w:r>
      <w:r w:rsidR="004969CE" w:rsidRPr="004969CE">
        <w:rPr>
          <w:rFonts w:asciiTheme="minorHAnsi" w:hAnsiTheme="minorHAnsi" w:cstheme="minorHAnsi"/>
          <w:color w:val="000000"/>
          <w:sz w:val="22"/>
          <w:shd w:val="clear" w:color="auto" w:fill="FFFFFF"/>
        </w:rPr>
        <w:fldChar w:fldCharType="end"/>
      </w:r>
      <w:r w:rsidR="004969CE" w:rsidRPr="004969CE">
        <w:rPr>
          <w:rFonts w:asciiTheme="minorHAnsi" w:hAnsiTheme="minorHAnsi" w:cstheme="minorHAnsi"/>
          <w:color w:val="000000"/>
          <w:sz w:val="22"/>
          <w:shd w:val="clear" w:color="auto" w:fill="FFFFFF"/>
        </w:rPr>
        <w:t>.</w:t>
      </w:r>
    </w:p>
    <w:p w14:paraId="491E2DBD" w14:textId="1B153184" w:rsidR="002272C1" w:rsidRPr="004969CE" w:rsidRDefault="00611C4B" w:rsidP="004969CE">
      <w:pPr>
        <w:pStyle w:val="BulletPoints"/>
        <w:numPr>
          <w:ilvl w:val="0"/>
          <w:numId w:val="8"/>
        </w:numPr>
        <w:rPr>
          <w:rFonts w:asciiTheme="minorHAnsi" w:hAnsiTheme="minorHAnsi" w:cstheme="minorHAnsi"/>
          <w:iCs/>
          <w:sz w:val="22"/>
        </w:rPr>
      </w:pPr>
      <w:r w:rsidRPr="004969CE">
        <w:rPr>
          <w:rFonts w:asciiTheme="minorHAnsi" w:hAnsiTheme="minorHAnsi" w:cstheme="minorHAnsi"/>
          <w:iCs/>
          <w:sz w:val="22"/>
        </w:rPr>
        <w:t>A multivariate ANOVA was used to determine the tomato yield variables, including the number of fruits, fruit weight</w:t>
      </w:r>
      <w:r w:rsidR="002272C1" w:rsidRPr="004969CE">
        <w:rPr>
          <w:rFonts w:asciiTheme="minorHAnsi" w:hAnsiTheme="minorHAnsi" w:cstheme="minorHAnsi"/>
          <w:iCs/>
          <w:sz w:val="22"/>
        </w:rPr>
        <w:t>, and the total yield</w:t>
      </w:r>
      <w:r w:rsidR="00DA0017" w:rsidRPr="004969CE">
        <w:rPr>
          <w:rFonts w:asciiTheme="minorHAnsi" w:hAnsiTheme="minorHAnsi" w:cstheme="minorHAnsi"/>
          <w:iCs/>
          <w:sz w:val="22"/>
        </w:rPr>
        <w:t xml:space="preserve"> </w:t>
      </w:r>
      <w:r w:rsidR="00DA0017" w:rsidRPr="004969CE">
        <w:rPr>
          <w:rFonts w:asciiTheme="minorHAnsi" w:hAnsiTheme="minorHAnsi" w:cstheme="minorHAnsi"/>
          <w:iCs/>
          <w:sz w:val="22"/>
        </w:rPr>
        <w:fldChar w:fldCharType="begin"/>
      </w:r>
      <w:r w:rsidR="005B4C9D" w:rsidRPr="004969CE">
        <w:rPr>
          <w:rFonts w:asciiTheme="minorHAnsi" w:hAnsiTheme="minorHAnsi" w:cstheme="minorHAnsi"/>
          <w:iCs/>
          <w:sz w:val="22"/>
        </w:rPr>
        <w:instrText xml:space="preserve"> ADDIN EN.CITE &lt;EndNote&gt;&lt;Cite&gt;&lt;Author&gt;Zhou&lt;/Author&gt;&lt;Year&gt;2022&lt;/Year&gt;&lt;RecNum&gt;390&lt;/RecNum&gt;&lt;DisplayText&gt;(Zhou et al. 2022)&lt;/DisplayText&gt;&lt;record&gt;&lt;rec-number&gt;390&lt;/rec-number&gt;&lt;foreign-keys&gt;&lt;key app="EN" db-id="xf9rwp0zu0rpdaedpswxafpaf5ee5wtp5wse" timestamp="1728213453" guid="02110a94-ccca-421f-9b43-049c343bca64"&gt;390&lt;/key&gt;&lt;/foreign-keys&gt;&lt;ref-type name="Journal Article"&gt;17&lt;/ref-type&gt;&lt;contributors&gt;&lt;authors&gt;&lt;author&gt;Zhou, Rong&lt;/author&gt;&lt;author&gt;Jiang, Fangling&lt;/author&gt;&lt;author&gt;Yu, Xiaqing&lt;/author&gt;&lt;author&gt;Abdelhakim, Lamis O. A.&lt;/author&gt;&lt;author&gt;Li, Xiangnan&lt;/author&gt;&lt;author&gt;Rosenqvist, Eva&lt;/author&gt;&lt;author&gt;Ottosen, Carl‐Otto&lt;/author&gt;&lt;author&gt;Zhang, Wu&lt;/author&gt;&lt;/authors&gt;&lt;/contributors&gt;&lt;titles&gt;&lt;title&gt;Dominant and Priming Role of Waterlogging in Tomato at E[CO2] by Multivariate Analysis&lt;/title&gt;&lt;secondary-title&gt;International Journal of Molecular Sciences&lt;/secondary-title&gt;&lt;/titles&gt;&lt;periodical&gt;&lt;full-title&gt;International Journal of Molecular Sciences&lt;/full-title&gt;&lt;/periodical&gt;&lt;pages&gt;12121&lt;/pages&gt;&lt;volume&gt;23&lt;/volume&gt;&lt;number&gt;20&lt;/number&gt;&lt;dates&gt;&lt;year&gt;2022&lt;/year&gt;&lt;/dates&gt;&lt;urls&gt;&lt;/urls&gt;&lt;electronic-resource-num&gt;10.3390/ijms232012121&lt;/electronic-resource-num&gt;&lt;/record&gt;&lt;/Cite&gt;&lt;/EndNote&gt;</w:instrText>
      </w:r>
      <w:r w:rsidR="00DA0017" w:rsidRPr="004969CE">
        <w:rPr>
          <w:rFonts w:asciiTheme="minorHAnsi" w:hAnsiTheme="minorHAnsi" w:cstheme="minorHAnsi"/>
          <w:iCs/>
          <w:sz w:val="22"/>
        </w:rPr>
        <w:fldChar w:fldCharType="separate"/>
      </w:r>
      <w:r w:rsidR="005B4C9D" w:rsidRPr="004969CE">
        <w:rPr>
          <w:rFonts w:asciiTheme="minorHAnsi" w:hAnsiTheme="minorHAnsi" w:cstheme="minorHAnsi"/>
          <w:iCs/>
          <w:noProof/>
          <w:sz w:val="22"/>
        </w:rPr>
        <w:t>(Zhou et al. 2022)</w:t>
      </w:r>
      <w:r w:rsidR="00DA0017" w:rsidRPr="004969CE">
        <w:rPr>
          <w:rFonts w:asciiTheme="minorHAnsi" w:hAnsiTheme="minorHAnsi" w:cstheme="minorHAnsi"/>
          <w:iCs/>
          <w:sz w:val="22"/>
        </w:rPr>
        <w:fldChar w:fldCharType="end"/>
      </w:r>
      <w:r w:rsidR="00DA0017" w:rsidRPr="004969CE">
        <w:rPr>
          <w:rFonts w:asciiTheme="minorHAnsi" w:hAnsiTheme="minorHAnsi" w:cstheme="minorHAnsi"/>
          <w:iCs/>
          <w:sz w:val="22"/>
        </w:rPr>
        <w:t>.</w:t>
      </w:r>
      <w:r w:rsidR="005B4C9D" w:rsidRPr="004969CE">
        <w:rPr>
          <w:rFonts w:asciiTheme="minorHAnsi" w:hAnsiTheme="minorHAnsi" w:cstheme="minorHAnsi"/>
          <w:iCs/>
          <w:sz w:val="22"/>
        </w:rPr>
        <w:t xml:space="preserve"> </w:t>
      </w:r>
      <w:r w:rsidRPr="004969CE">
        <w:rPr>
          <w:rFonts w:asciiTheme="minorHAnsi" w:hAnsiTheme="minorHAnsi" w:cstheme="minorHAnsi"/>
          <w:iCs/>
          <w:sz w:val="22"/>
        </w:rPr>
        <w:t>It was noted that depth may have a limited effect, particularly when compared to duration</w:t>
      </w:r>
      <w:r w:rsidR="002272C1" w:rsidRPr="004969CE">
        <w:rPr>
          <w:rFonts w:asciiTheme="minorHAnsi" w:hAnsiTheme="minorHAnsi" w:cstheme="minorHAnsi"/>
          <w:iCs/>
          <w:sz w:val="22"/>
        </w:rPr>
        <w:t xml:space="preserve"> </w:t>
      </w:r>
      <w:r w:rsidR="002272C1" w:rsidRPr="004969CE">
        <w:rPr>
          <w:rFonts w:asciiTheme="minorHAnsi" w:hAnsiTheme="minorHAnsi" w:cstheme="minorHAnsi"/>
          <w:iCs/>
          <w:sz w:val="22"/>
        </w:rPr>
        <w:lastRenderedPageBreak/>
        <w:t>(p&lt;</w:t>
      </w:r>
      <w:r w:rsidR="00AB1D91" w:rsidRPr="004969CE">
        <w:rPr>
          <w:rFonts w:asciiTheme="minorHAnsi" w:hAnsiTheme="minorHAnsi" w:cstheme="minorHAnsi"/>
          <w:iCs/>
          <w:sz w:val="22"/>
        </w:rPr>
        <w:t>0</w:t>
      </w:r>
      <w:r w:rsidR="002272C1" w:rsidRPr="004969CE">
        <w:rPr>
          <w:rFonts w:asciiTheme="minorHAnsi" w:hAnsiTheme="minorHAnsi" w:cstheme="minorHAnsi"/>
          <w:iCs/>
          <w:sz w:val="22"/>
        </w:rPr>
        <w:t>.001).</w:t>
      </w:r>
      <w:r w:rsidR="004969CE" w:rsidRPr="004969CE">
        <w:rPr>
          <w:rFonts w:asciiTheme="minorHAnsi" w:hAnsiTheme="minorHAnsi" w:cstheme="minorHAnsi"/>
          <w:iCs/>
          <w:sz w:val="22"/>
        </w:rPr>
        <w:t xml:space="preserve"> Although deep waterlogging produces more flower clusters, fewer flowers developed into fruits thus reducing its fruit weight. This fact supports the hypothesis that excess moisture affects flower and fruit development </w:t>
      </w:r>
      <w:r w:rsidR="004969CE" w:rsidRPr="004969CE">
        <w:rPr>
          <w:rFonts w:asciiTheme="minorHAnsi" w:hAnsiTheme="minorHAnsi" w:cstheme="minorHAnsi"/>
          <w:iCs/>
          <w:sz w:val="22"/>
        </w:rPr>
        <w:fldChar w:fldCharType="begin"/>
      </w:r>
      <w:r w:rsidR="004969CE" w:rsidRPr="004969CE">
        <w:rPr>
          <w:rFonts w:asciiTheme="minorHAnsi" w:hAnsiTheme="minorHAnsi" w:cstheme="minorHAnsi"/>
          <w:iCs/>
          <w:sz w:val="22"/>
        </w:rPr>
        <w:instrText xml:space="preserve"> ADDIN EN.CITE &lt;EndNote&gt;&lt;Cite&gt;&lt;Author&gt;Jitsuyama&lt;/Author&gt;&lt;Year&gt;2019&lt;/Year&gt;&lt;RecNum&gt;24&lt;/RecNum&gt;&lt;DisplayText&gt;(Jitsuyama et al. 2019)&lt;/DisplayText&gt;&lt;record&gt;&lt;rec-number&gt;24&lt;/rec-number&gt;&lt;foreign-keys&gt;&lt;key app="EN" db-id="xf9rwp0zu0rpdaedpswxafpaf5ee5wtp5wse" timestamp="0" guid="fb51fba8-4030-4295-86cd-77e58a4d118a"&gt;24&lt;/key&gt;&lt;/foreign-keys&gt;&lt;ref-type name="Journal Article"&gt;17&lt;/ref-type&gt;&lt;contributors&gt;&lt;authors&gt;&lt;author&gt;Jitsuyama, Yutaka&lt;/author&gt;&lt;author&gt;Ichiki, Ayane&lt;/author&gt;&lt;author&gt;Ide, Ryosuke&lt;/author&gt;&lt;author&gt;Shimura, Hanako&lt;/author&gt;&lt;author&gt;Suzuki, Takashi&lt;/author&gt;&lt;/authors&gt;&lt;/contributors&gt;&lt;titles&gt;&lt;title&gt;The processing tomato cultivar ‘Natsunoshun’is susceptible to an excess or lack of soil moisture after the flowering stage&lt;/title&gt;&lt;secondary-title&gt;The Horticulture Journal&lt;/secondary-title&gt;&lt;/titles&gt;&lt;periodical&gt;&lt;full-title&gt;The Horticulture Journal&lt;/full-title&gt;&lt;/periodical&gt;&lt;pages&gt;232-244&lt;/pages&gt;&lt;volume&gt;88&lt;/volume&gt;&lt;number&gt;2&lt;/number&gt;&lt;dates&gt;&lt;year&gt;2019&lt;/year&gt;&lt;/dates&gt;&lt;isbn&gt;2189-0102&lt;/isbn&gt;&lt;urls&gt;&lt;/urls&gt;&lt;/record&gt;&lt;/Cite&gt;&lt;/EndNote&gt;</w:instrText>
      </w:r>
      <w:r w:rsidR="004969CE" w:rsidRPr="004969CE">
        <w:rPr>
          <w:rFonts w:asciiTheme="minorHAnsi" w:hAnsiTheme="minorHAnsi" w:cstheme="minorHAnsi"/>
          <w:iCs/>
          <w:sz w:val="22"/>
        </w:rPr>
        <w:fldChar w:fldCharType="separate"/>
      </w:r>
      <w:r w:rsidR="004969CE" w:rsidRPr="004969CE">
        <w:rPr>
          <w:rFonts w:asciiTheme="minorHAnsi" w:hAnsiTheme="minorHAnsi" w:cstheme="minorHAnsi"/>
          <w:iCs/>
          <w:noProof/>
          <w:sz w:val="22"/>
        </w:rPr>
        <w:t>(Jitsuyama et al. 2019)</w:t>
      </w:r>
      <w:r w:rsidR="004969CE" w:rsidRPr="004969CE">
        <w:rPr>
          <w:rFonts w:asciiTheme="minorHAnsi" w:hAnsiTheme="minorHAnsi" w:cstheme="minorHAnsi"/>
          <w:iCs/>
          <w:sz w:val="22"/>
        </w:rPr>
        <w:fldChar w:fldCharType="end"/>
      </w:r>
      <w:r w:rsidR="004969CE" w:rsidRPr="004969CE">
        <w:rPr>
          <w:rFonts w:asciiTheme="minorHAnsi" w:hAnsiTheme="minorHAnsi" w:cstheme="minorHAnsi"/>
          <w:iCs/>
          <w:sz w:val="22"/>
        </w:rPr>
        <w:t>.</w:t>
      </w:r>
    </w:p>
    <w:p w14:paraId="2305FA2F" w14:textId="3096579B" w:rsidR="00611C4B" w:rsidRPr="004969CE" w:rsidRDefault="00611C4B" w:rsidP="004969CE">
      <w:pPr>
        <w:pStyle w:val="BulletPoints"/>
        <w:numPr>
          <w:ilvl w:val="0"/>
          <w:numId w:val="8"/>
        </w:numPr>
        <w:rPr>
          <w:rFonts w:asciiTheme="minorHAnsi" w:hAnsiTheme="minorHAnsi" w:cstheme="minorHAnsi"/>
          <w:iCs/>
          <w:sz w:val="22"/>
        </w:rPr>
      </w:pPr>
      <w:r w:rsidRPr="004969CE">
        <w:rPr>
          <w:rFonts w:asciiTheme="minorHAnsi" w:hAnsiTheme="minorHAnsi" w:cstheme="minorHAnsi"/>
          <w:iCs/>
          <w:sz w:val="22"/>
        </w:rPr>
        <w:t>Concerning yield, it was highlighted that the depth of waterlogging has a significant effect on tomato yield (p = 0.040). As the waterlogging duration increases from 24 to 48 hours, yields per plant increase, particularly for</w:t>
      </w:r>
      <w:r w:rsidR="00C144CF" w:rsidRPr="004969CE">
        <w:rPr>
          <w:rFonts w:asciiTheme="minorHAnsi" w:hAnsiTheme="minorHAnsi" w:cstheme="minorHAnsi"/>
          <w:iCs/>
          <w:sz w:val="22"/>
        </w:rPr>
        <w:t xml:space="preserve"> </w:t>
      </w:r>
      <w:r w:rsidRPr="004969CE">
        <w:rPr>
          <w:rFonts w:asciiTheme="minorHAnsi" w:hAnsiTheme="minorHAnsi" w:cstheme="minorHAnsi"/>
          <w:iCs/>
          <w:sz w:val="22"/>
        </w:rPr>
        <w:t xml:space="preserve">submergence. However, at 72 hours, yields start to decline across all depths, indicating that waterlogging for too long begins to harm the plants' yield. </w:t>
      </w:r>
    </w:p>
    <w:p w14:paraId="375B9486" w14:textId="427A790F" w:rsidR="00611C4B" w:rsidRPr="004969CE" w:rsidRDefault="00611C4B" w:rsidP="004969CE">
      <w:pPr>
        <w:pStyle w:val="BulletPoints"/>
        <w:numPr>
          <w:ilvl w:val="0"/>
          <w:numId w:val="8"/>
        </w:numPr>
        <w:rPr>
          <w:rFonts w:asciiTheme="minorHAnsi" w:hAnsiTheme="minorHAnsi" w:cstheme="minorHAnsi"/>
          <w:iCs/>
          <w:sz w:val="22"/>
        </w:rPr>
      </w:pPr>
      <w:r w:rsidRPr="004969CE">
        <w:rPr>
          <w:rFonts w:asciiTheme="minorHAnsi" w:hAnsiTheme="minorHAnsi" w:cstheme="minorHAnsi"/>
          <w:iCs/>
          <w:sz w:val="22"/>
        </w:rPr>
        <w:t xml:space="preserve">A univariate ANOVA was used to analyze fruit quality characteristics for </w:t>
      </w:r>
      <w:r w:rsidR="00CE0485" w:rsidRPr="004969CE">
        <w:rPr>
          <w:rFonts w:asciiTheme="minorHAnsi" w:hAnsiTheme="minorHAnsi" w:cstheme="minorHAnsi"/>
          <w:iCs/>
          <w:sz w:val="22"/>
        </w:rPr>
        <w:t>maturity</w:t>
      </w:r>
      <w:r w:rsidRPr="004969CE">
        <w:rPr>
          <w:rFonts w:asciiTheme="minorHAnsi" w:hAnsiTheme="minorHAnsi" w:cstheme="minorHAnsi"/>
          <w:iCs/>
          <w:sz w:val="22"/>
        </w:rPr>
        <w:t xml:space="preserve">, brix, and lycopene content. The number of days it took for the fruits to reach maturity stages (i.e. </w:t>
      </w:r>
      <w:r w:rsidR="00C144CF" w:rsidRPr="004969CE">
        <w:rPr>
          <w:rFonts w:asciiTheme="minorHAnsi" w:hAnsiTheme="minorHAnsi" w:cstheme="minorHAnsi"/>
          <w:iCs/>
          <w:sz w:val="22"/>
        </w:rPr>
        <w:t>g</w:t>
      </w:r>
      <w:r w:rsidRPr="004969CE">
        <w:rPr>
          <w:rFonts w:asciiTheme="minorHAnsi" w:hAnsiTheme="minorHAnsi" w:cstheme="minorHAnsi"/>
          <w:iCs/>
          <w:sz w:val="22"/>
        </w:rPr>
        <w:t>reen, half-ripe,</w:t>
      </w:r>
      <w:r w:rsidR="00C144CF" w:rsidRPr="004969CE">
        <w:rPr>
          <w:rFonts w:asciiTheme="minorHAnsi" w:hAnsiTheme="minorHAnsi" w:cstheme="minorHAnsi"/>
          <w:iCs/>
          <w:sz w:val="22"/>
        </w:rPr>
        <w:t xml:space="preserve"> full</w:t>
      </w:r>
      <w:r w:rsidRPr="004969CE">
        <w:rPr>
          <w:rFonts w:asciiTheme="minorHAnsi" w:hAnsiTheme="minorHAnsi" w:cstheme="minorHAnsi"/>
          <w:iCs/>
          <w:sz w:val="22"/>
        </w:rPr>
        <w:t xml:space="preserve">-ripe) </w:t>
      </w:r>
      <w:r w:rsidR="008774EB" w:rsidRPr="004969CE">
        <w:rPr>
          <w:rFonts w:asciiTheme="minorHAnsi" w:hAnsiTheme="minorHAnsi" w:cstheme="minorHAnsi"/>
          <w:iCs/>
          <w:sz w:val="22"/>
        </w:rPr>
        <w:t xml:space="preserve">by </w:t>
      </w:r>
      <w:r w:rsidR="00C144CF" w:rsidRPr="004969CE">
        <w:rPr>
          <w:rFonts w:asciiTheme="minorHAnsi" w:hAnsiTheme="minorHAnsi" w:cstheme="minorHAnsi"/>
          <w:iCs/>
          <w:sz w:val="22"/>
        </w:rPr>
        <w:t>color</w:t>
      </w:r>
      <w:r w:rsidRPr="004969CE">
        <w:rPr>
          <w:rFonts w:asciiTheme="minorHAnsi" w:hAnsiTheme="minorHAnsi" w:cstheme="minorHAnsi"/>
          <w:iCs/>
          <w:sz w:val="22"/>
        </w:rPr>
        <w:t xml:space="preserve"> changes indicated that the interaction between depth and duration </w:t>
      </w:r>
      <w:r w:rsidR="00CE0485" w:rsidRPr="004969CE">
        <w:rPr>
          <w:rFonts w:asciiTheme="minorHAnsi" w:hAnsiTheme="minorHAnsi" w:cstheme="minorHAnsi"/>
          <w:iCs/>
          <w:sz w:val="22"/>
        </w:rPr>
        <w:t>was</w:t>
      </w:r>
      <w:r w:rsidRPr="004969CE">
        <w:rPr>
          <w:rFonts w:asciiTheme="minorHAnsi" w:hAnsiTheme="minorHAnsi" w:cstheme="minorHAnsi"/>
          <w:iCs/>
          <w:sz w:val="22"/>
        </w:rPr>
        <w:t xml:space="preserve"> significant (p =</w:t>
      </w:r>
      <w:r w:rsidR="00CE0485" w:rsidRPr="004969CE">
        <w:rPr>
          <w:rFonts w:asciiTheme="minorHAnsi" w:hAnsiTheme="minorHAnsi" w:cstheme="minorHAnsi"/>
          <w:iCs/>
          <w:sz w:val="22"/>
        </w:rPr>
        <w:t>0</w:t>
      </w:r>
      <w:r w:rsidRPr="004969CE">
        <w:rPr>
          <w:rFonts w:asciiTheme="minorHAnsi" w:hAnsiTheme="minorHAnsi" w:cstheme="minorHAnsi"/>
          <w:iCs/>
          <w:sz w:val="22"/>
        </w:rPr>
        <w:t xml:space="preserve">.008) for all three dependent variables. The findings suggested that </w:t>
      </w:r>
      <w:r w:rsidR="00755683" w:rsidRPr="004969CE">
        <w:rPr>
          <w:rFonts w:asciiTheme="minorHAnsi" w:hAnsiTheme="minorHAnsi" w:cstheme="minorHAnsi"/>
          <w:iCs/>
          <w:sz w:val="22"/>
        </w:rPr>
        <w:t xml:space="preserve">prolonged waterlogging can reduce nutrient uptake and hypoxia, negatively impacting the synthesis of carotenoids and other pigments essential for fruit coloration </w:t>
      </w:r>
      <w:r w:rsidR="00755683" w:rsidRPr="004969CE">
        <w:rPr>
          <w:rFonts w:asciiTheme="minorHAnsi" w:hAnsiTheme="minorHAnsi" w:cstheme="minorHAnsi"/>
          <w:iCs/>
          <w:sz w:val="22"/>
        </w:rPr>
        <w:fldChar w:fldCharType="begin"/>
      </w:r>
      <w:r w:rsidR="005B4C9D" w:rsidRPr="004969CE">
        <w:rPr>
          <w:rFonts w:asciiTheme="minorHAnsi" w:hAnsiTheme="minorHAnsi" w:cstheme="minorHAnsi"/>
          <w:iCs/>
          <w:sz w:val="22"/>
        </w:rPr>
        <w:instrText xml:space="preserve"> ADDIN EN.CITE &lt;EndNote&gt;&lt;Cite&gt;&lt;Author&gt;Ide&lt;/Author&gt;&lt;Year&gt;2022&lt;/Year&gt;&lt;RecNum&gt;20&lt;/RecNum&gt;&lt;DisplayText&gt;(Ide et al. 2022)&lt;/DisplayText&gt;&lt;record&gt;&lt;rec-number&gt;20&lt;/rec-number&gt;&lt;foreign-keys&gt;&lt;key app="EN" db-id="xf9rwp0zu0rpdaedpswxafpaf5ee5wtp5wse" timestamp="0" guid="1b2516d6-acfb-473b-9c5a-4f780ae3b1af"&gt;20&lt;/key&gt;&lt;/foreign-keys&gt;&lt;ref-type name="Journal Article"&gt;17&lt;/ref-type&gt;&lt;contributors&gt;&lt;authors&gt;&lt;author&gt;Ide, R.&lt;/author&gt;&lt;author&gt;Ichiki, A.&lt;/author&gt;&lt;author&gt;Suzuki, T.&lt;/author&gt;&lt;author&gt;Jitsuyama, Y.&lt;/author&gt;&lt;/authors&gt;&lt;/contributors&gt;&lt;titles&gt;&lt;title&gt;Analysis of yield reduction factors in processing tomatoes under waterlogging conditions&lt;/title&gt;&lt;secondary-title&gt;Scientia Horticulturae&lt;/secondary-title&gt;&lt;/titles&gt;&lt;periodical&gt;&lt;full-title&gt;Scientia Horticulturae&lt;/full-title&gt;&lt;/periodical&gt;&lt;pages&gt;110840&lt;/pages&gt;&lt;volume&gt;295&lt;/volume&gt;&lt;section&gt;110840&lt;/section&gt;&lt;keywords&gt;&lt;keyword&gt;Fruit quality&lt;/keyword&gt;&lt;keyword&gt;Fruiting ratio&lt;/keyword&gt;&lt;keyword&gt;Root uptake&lt;/keyword&gt;&lt;keyword&gt;Waterlogging injury&lt;/keyword&gt;&lt;keyword&gt;Yield&lt;/keyword&gt;&lt;/keywords&gt;&lt;dates&gt;&lt;year&gt;2022&lt;/year&gt;&lt;pub-dates&gt;&lt;date&gt;2022/03/15/&lt;/date&gt;&lt;/pub-dates&gt;&lt;/dates&gt;&lt;isbn&gt;03044238&lt;/isbn&gt;&lt;urls&gt;&lt;related-urls&gt;&lt;url&gt;https://www.sciencedirect.com/science/article/pii/S030442382100947X&lt;/url&gt;&lt;/related-urls&gt;&lt;/urls&gt;&lt;electronic-resource-num&gt;10.1016/j.scienta.2021.110840&lt;/electronic-resource-num&gt;&lt;/record&gt;&lt;/Cite&gt;&lt;/EndNote&gt;</w:instrText>
      </w:r>
      <w:r w:rsidR="00755683" w:rsidRPr="004969CE">
        <w:rPr>
          <w:rFonts w:asciiTheme="minorHAnsi" w:hAnsiTheme="minorHAnsi" w:cstheme="minorHAnsi"/>
          <w:iCs/>
          <w:sz w:val="22"/>
        </w:rPr>
        <w:fldChar w:fldCharType="separate"/>
      </w:r>
      <w:r w:rsidR="005B4C9D" w:rsidRPr="004969CE">
        <w:rPr>
          <w:rFonts w:asciiTheme="minorHAnsi" w:hAnsiTheme="minorHAnsi" w:cstheme="minorHAnsi"/>
          <w:iCs/>
          <w:noProof/>
          <w:sz w:val="22"/>
        </w:rPr>
        <w:t>(Ide et al. 2022)</w:t>
      </w:r>
      <w:r w:rsidR="00755683" w:rsidRPr="004969CE">
        <w:rPr>
          <w:rFonts w:asciiTheme="minorHAnsi" w:hAnsiTheme="minorHAnsi" w:cstheme="minorHAnsi"/>
          <w:iCs/>
          <w:sz w:val="22"/>
        </w:rPr>
        <w:fldChar w:fldCharType="end"/>
      </w:r>
      <w:r w:rsidR="00755683" w:rsidRPr="004969CE">
        <w:rPr>
          <w:rFonts w:asciiTheme="minorHAnsi" w:hAnsiTheme="minorHAnsi" w:cstheme="minorHAnsi"/>
          <w:iCs/>
          <w:sz w:val="22"/>
        </w:rPr>
        <w:t xml:space="preserve">. </w:t>
      </w:r>
      <w:r w:rsidRPr="004969CE">
        <w:rPr>
          <w:rFonts w:asciiTheme="minorHAnsi" w:hAnsiTheme="minorHAnsi" w:cstheme="minorHAnsi"/>
          <w:iCs/>
          <w:sz w:val="22"/>
        </w:rPr>
        <w:t xml:space="preserve">The </w:t>
      </w:r>
      <w:r w:rsidR="00755683" w:rsidRPr="004969CE">
        <w:rPr>
          <w:rFonts w:asciiTheme="minorHAnsi" w:hAnsiTheme="minorHAnsi" w:cstheme="minorHAnsi"/>
          <w:iCs/>
          <w:sz w:val="22"/>
        </w:rPr>
        <w:t>b</w:t>
      </w:r>
      <w:r w:rsidRPr="004969CE">
        <w:rPr>
          <w:rFonts w:asciiTheme="minorHAnsi" w:hAnsiTheme="minorHAnsi" w:cstheme="minorHAnsi"/>
          <w:iCs/>
          <w:sz w:val="22"/>
        </w:rPr>
        <w:t xml:space="preserve">rix value at the </w:t>
      </w:r>
      <w:r w:rsidR="00755683" w:rsidRPr="004969CE">
        <w:rPr>
          <w:rFonts w:asciiTheme="minorHAnsi" w:hAnsiTheme="minorHAnsi" w:cstheme="minorHAnsi"/>
          <w:iCs/>
          <w:sz w:val="22"/>
        </w:rPr>
        <w:t>full-</w:t>
      </w:r>
      <w:r w:rsidRPr="004969CE">
        <w:rPr>
          <w:rFonts w:asciiTheme="minorHAnsi" w:hAnsiTheme="minorHAnsi" w:cstheme="minorHAnsi"/>
          <w:iCs/>
          <w:sz w:val="22"/>
        </w:rPr>
        <w:t xml:space="preserve">ripe stage </w:t>
      </w:r>
      <w:r w:rsidR="00CE0485" w:rsidRPr="004969CE">
        <w:rPr>
          <w:rFonts w:asciiTheme="minorHAnsi" w:hAnsiTheme="minorHAnsi" w:cstheme="minorHAnsi"/>
          <w:iCs/>
          <w:sz w:val="22"/>
        </w:rPr>
        <w:t>was</w:t>
      </w:r>
      <w:r w:rsidRPr="004969CE">
        <w:rPr>
          <w:rFonts w:asciiTheme="minorHAnsi" w:hAnsiTheme="minorHAnsi" w:cstheme="minorHAnsi"/>
          <w:iCs/>
          <w:sz w:val="22"/>
        </w:rPr>
        <w:t xml:space="preserve"> slightly higher, reaching around 75% for a deep waterlogging stage</w:t>
      </w:r>
      <w:r w:rsidR="00755683" w:rsidRPr="004969CE">
        <w:rPr>
          <w:rFonts w:asciiTheme="minorHAnsi" w:hAnsiTheme="minorHAnsi" w:cstheme="minorHAnsi"/>
          <w:iCs/>
          <w:sz w:val="22"/>
        </w:rPr>
        <w:t xml:space="preserve"> at 48 hours</w:t>
      </w:r>
      <w:r w:rsidRPr="004969CE">
        <w:rPr>
          <w:rFonts w:asciiTheme="minorHAnsi" w:hAnsiTheme="minorHAnsi" w:cstheme="minorHAnsi"/>
          <w:iCs/>
          <w:sz w:val="22"/>
        </w:rPr>
        <w:t xml:space="preserve">. This indicates that the fruits were sweeter when fully submerged, almost like the 75% brix value of the same variety cultivated during its regular season. </w:t>
      </w:r>
    </w:p>
    <w:p w14:paraId="6ECC20B4" w14:textId="6FBAFCED" w:rsidR="001E7CA1" w:rsidRPr="004969CE" w:rsidRDefault="00611C4B" w:rsidP="004969CE">
      <w:pPr>
        <w:pStyle w:val="BulletPoints"/>
        <w:numPr>
          <w:ilvl w:val="0"/>
          <w:numId w:val="8"/>
        </w:numPr>
        <w:rPr>
          <w:rFonts w:asciiTheme="minorHAnsi" w:hAnsiTheme="minorHAnsi" w:cstheme="minorHAnsi"/>
          <w:iCs/>
          <w:sz w:val="22"/>
        </w:rPr>
      </w:pPr>
      <w:r w:rsidRPr="004969CE">
        <w:rPr>
          <w:rFonts w:asciiTheme="minorHAnsi" w:hAnsiTheme="minorHAnsi" w:cstheme="minorHAnsi"/>
          <w:iCs/>
          <w:sz w:val="22"/>
        </w:rPr>
        <w:t>Different maturity stages were examined for their lycopene content</w:t>
      </w:r>
      <w:r w:rsidR="00185534" w:rsidRPr="004969CE">
        <w:rPr>
          <w:rFonts w:asciiTheme="minorHAnsi" w:hAnsiTheme="minorHAnsi" w:cstheme="minorHAnsi"/>
          <w:iCs/>
          <w:sz w:val="22"/>
        </w:rPr>
        <w:t xml:space="preserve"> </w:t>
      </w:r>
      <w:r w:rsidR="00185534" w:rsidRPr="004969CE">
        <w:rPr>
          <w:rFonts w:asciiTheme="minorHAnsi" w:hAnsiTheme="minorHAnsi" w:cstheme="minorHAnsi"/>
          <w:iCs/>
          <w:sz w:val="22"/>
        </w:rPr>
        <w:fldChar w:fldCharType="begin"/>
      </w:r>
      <w:r w:rsidR="005B4C9D" w:rsidRPr="004969CE">
        <w:rPr>
          <w:rFonts w:asciiTheme="minorHAnsi" w:hAnsiTheme="minorHAnsi" w:cstheme="minorHAnsi"/>
          <w:iCs/>
          <w:sz w:val="22"/>
        </w:rPr>
        <w:instrText xml:space="preserve"> ADDIN EN.CITE &lt;EndNote&gt;&lt;Cite&gt;&lt;Author&gt;Suwanaruang&lt;/Author&gt;&lt;Year&gt;2016&lt;/Year&gt;&lt;RecNum&gt;228&lt;/RecNum&gt;&lt;DisplayText&gt;(Suwanaruang 2016)&lt;/DisplayText&gt;&lt;record&gt;&lt;rec-number&gt;228&lt;/rec-number&gt;&lt;foreign-keys&gt;&lt;key app="EN" db-id="xf9rwp0zu0rpdaedpswxafpaf5ee5wtp5wse" timestamp="1721042910" guid="13867bac-7e4e-47c3-8b6b-f567f78e073e"&gt;228&lt;/key&gt;&lt;/foreign-keys&gt;&lt;ref-type name="Journal Article"&gt;17&lt;/ref-type&gt;&lt;contributors&gt;&lt;authors&gt;&lt;author&gt;Suwanaruang, Theeranat&lt;/author&gt;&lt;/authors&gt;&lt;/contributors&gt;&lt;titles&gt;&lt;title&gt;Analyzing lycopene content in fruits&lt;/title&gt;&lt;secondary-title&gt;Agriculture and Agricultural Science Procedia&lt;/secondary-title&gt;&lt;/titles&gt;&lt;periodical&gt;&lt;full-title&gt;Agriculture and Agricultural Science Procedia&lt;/full-title&gt;&lt;/periodical&gt;&lt;pages&gt;46-48&lt;/pages&gt;&lt;volume&gt;11&lt;/volume&gt;&lt;dates&gt;&lt;year&gt;2016&lt;/year&gt;&lt;/dates&gt;&lt;isbn&gt;2210-7843&lt;/isbn&gt;&lt;urls&gt;&lt;/urls&gt;&lt;/record&gt;&lt;/Cite&gt;&lt;/EndNote&gt;</w:instrText>
      </w:r>
      <w:r w:rsidR="00185534" w:rsidRPr="004969CE">
        <w:rPr>
          <w:rFonts w:asciiTheme="minorHAnsi" w:hAnsiTheme="minorHAnsi" w:cstheme="minorHAnsi"/>
          <w:iCs/>
          <w:sz w:val="22"/>
        </w:rPr>
        <w:fldChar w:fldCharType="separate"/>
      </w:r>
      <w:r w:rsidR="005B4C9D" w:rsidRPr="004969CE">
        <w:rPr>
          <w:rFonts w:asciiTheme="minorHAnsi" w:hAnsiTheme="minorHAnsi" w:cstheme="minorHAnsi"/>
          <w:iCs/>
          <w:noProof/>
          <w:sz w:val="22"/>
        </w:rPr>
        <w:t>(Suwanaruang 2016)</w:t>
      </w:r>
      <w:r w:rsidR="00185534" w:rsidRPr="004969CE">
        <w:rPr>
          <w:rFonts w:asciiTheme="minorHAnsi" w:hAnsiTheme="minorHAnsi" w:cstheme="minorHAnsi"/>
          <w:iCs/>
          <w:sz w:val="22"/>
        </w:rPr>
        <w:fldChar w:fldCharType="end"/>
      </w:r>
      <w:r w:rsidR="002C2157" w:rsidRPr="004969CE">
        <w:rPr>
          <w:rFonts w:asciiTheme="minorHAnsi" w:hAnsiTheme="minorHAnsi" w:cstheme="minorHAnsi"/>
          <w:iCs/>
          <w:sz w:val="22"/>
        </w:rPr>
        <w:t>. It can be concluded that half-ripe</w:t>
      </w:r>
      <w:r w:rsidRPr="004969CE">
        <w:rPr>
          <w:rFonts w:asciiTheme="minorHAnsi" w:hAnsiTheme="minorHAnsi" w:cstheme="minorHAnsi"/>
          <w:iCs/>
          <w:sz w:val="22"/>
        </w:rPr>
        <w:t xml:space="preserve"> or breakers </w:t>
      </w:r>
      <w:r w:rsidR="002C2157" w:rsidRPr="004969CE">
        <w:rPr>
          <w:rFonts w:asciiTheme="minorHAnsi" w:hAnsiTheme="minorHAnsi" w:cstheme="minorHAnsi"/>
          <w:iCs/>
          <w:sz w:val="22"/>
        </w:rPr>
        <w:t>were</w:t>
      </w:r>
      <w:r w:rsidRPr="004969CE">
        <w:rPr>
          <w:rFonts w:asciiTheme="minorHAnsi" w:hAnsiTheme="minorHAnsi" w:cstheme="minorHAnsi"/>
          <w:iCs/>
          <w:sz w:val="22"/>
        </w:rPr>
        <w:t xml:space="preserve"> a transitional stage where lycopene accumulates, leading to a noticeable increase in content. In contrast, the final stage of maturity, where lycopene content peaks, gives tomatoes their characteristic red colour. </w:t>
      </w:r>
    </w:p>
    <w:p w14:paraId="4F5D9C0A" w14:textId="0EC17A90" w:rsidR="00611C4B" w:rsidRPr="004969CE" w:rsidRDefault="00611C4B" w:rsidP="004969CE">
      <w:pPr>
        <w:pStyle w:val="BulletPoints"/>
        <w:numPr>
          <w:ilvl w:val="0"/>
          <w:numId w:val="8"/>
        </w:numPr>
        <w:rPr>
          <w:rFonts w:asciiTheme="minorHAnsi" w:hAnsiTheme="minorHAnsi" w:cstheme="minorHAnsi"/>
          <w:iCs/>
          <w:sz w:val="22"/>
        </w:rPr>
      </w:pPr>
      <w:r w:rsidRPr="004969CE">
        <w:rPr>
          <w:rFonts w:asciiTheme="minorHAnsi" w:hAnsiTheme="minorHAnsi" w:cstheme="minorHAnsi"/>
          <w:iCs/>
          <w:sz w:val="22"/>
        </w:rPr>
        <w:t>The control conditions allow for average lycopene accumulation as the fruit matures, which exhibits</w:t>
      </w:r>
      <w:r w:rsidR="00755683" w:rsidRPr="004969CE">
        <w:rPr>
          <w:rFonts w:asciiTheme="minorHAnsi" w:hAnsiTheme="minorHAnsi" w:cstheme="minorHAnsi"/>
          <w:iCs/>
          <w:sz w:val="22"/>
        </w:rPr>
        <w:t xml:space="preserve"> </w:t>
      </w:r>
      <w:r w:rsidRPr="004969CE">
        <w:rPr>
          <w:rFonts w:asciiTheme="minorHAnsi" w:hAnsiTheme="minorHAnsi" w:cstheme="minorHAnsi"/>
          <w:iCs/>
          <w:sz w:val="22"/>
        </w:rPr>
        <w:t xml:space="preserve">moderate, and significant increases in the </w:t>
      </w:r>
      <w:r w:rsidR="00755683" w:rsidRPr="004969CE">
        <w:rPr>
          <w:rFonts w:asciiTheme="minorHAnsi" w:hAnsiTheme="minorHAnsi" w:cstheme="minorHAnsi"/>
          <w:iCs/>
          <w:sz w:val="22"/>
        </w:rPr>
        <w:t>full-</w:t>
      </w:r>
      <w:r w:rsidRPr="004969CE">
        <w:rPr>
          <w:rFonts w:asciiTheme="minorHAnsi" w:hAnsiTheme="minorHAnsi" w:cstheme="minorHAnsi"/>
          <w:iCs/>
          <w:sz w:val="22"/>
        </w:rPr>
        <w:t>ripe stage.</w:t>
      </w:r>
      <w:r w:rsidR="002C2157" w:rsidRPr="004969CE">
        <w:rPr>
          <w:rFonts w:asciiTheme="minorHAnsi" w:hAnsiTheme="minorHAnsi" w:cstheme="minorHAnsi"/>
          <w:iCs/>
          <w:sz w:val="22"/>
        </w:rPr>
        <w:t xml:space="preserve"> A 72</w:t>
      </w:r>
      <w:r w:rsidR="00755683" w:rsidRPr="004969CE">
        <w:rPr>
          <w:rFonts w:asciiTheme="minorHAnsi" w:hAnsiTheme="minorHAnsi" w:cstheme="minorHAnsi"/>
          <w:iCs/>
          <w:sz w:val="22"/>
        </w:rPr>
        <w:t xml:space="preserve">-hour </w:t>
      </w:r>
      <w:r w:rsidR="002C2157" w:rsidRPr="004969CE">
        <w:rPr>
          <w:rFonts w:asciiTheme="minorHAnsi" w:hAnsiTheme="minorHAnsi" w:cstheme="minorHAnsi"/>
          <w:iCs/>
          <w:sz w:val="22"/>
        </w:rPr>
        <w:t xml:space="preserve">subsurface </w:t>
      </w:r>
      <w:r w:rsidR="00755683" w:rsidRPr="004969CE">
        <w:rPr>
          <w:rFonts w:asciiTheme="minorHAnsi" w:hAnsiTheme="minorHAnsi" w:cstheme="minorHAnsi"/>
          <w:iCs/>
          <w:sz w:val="22"/>
        </w:rPr>
        <w:t>waterlogging</w:t>
      </w:r>
      <w:r w:rsidR="002C2157" w:rsidRPr="004969CE">
        <w:rPr>
          <w:rFonts w:asciiTheme="minorHAnsi" w:hAnsiTheme="minorHAnsi" w:cstheme="minorHAnsi"/>
          <w:iCs/>
          <w:sz w:val="22"/>
        </w:rPr>
        <w:t xml:space="preserve"> </w:t>
      </w:r>
      <w:r w:rsidR="00755683" w:rsidRPr="004969CE">
        <w:rPr>
          <w:rFonts w:asciiTheme="minorHAnsi" w:hAnsiTheme="minorHAnsi" w:cstheme="minorHAnsi"/>
          <w:iCs/>
          <w:sz w:val="22"/>
        </w:rPr>
        <w:t>demonstrates</w:t>
      </w:r>
      <w:r w:rsidRPr="004969CE">
        <w:rPr>
          <w:rFonts w:asciiTheme="minorHAnsi" w:hAnsiTheme="minorHAnsi" w:cstheme="minorHAnsi"/>
          <w:iCs/>
          <w:sz w:val="22"/>
        </w:rPr>
        <w:t xml:space="preserve"> the highest lycopene content in the </w:t>
      </w:r>
      <w:r w:rsidR="002C2157" w:rsidRPr="004969CE">
        <w:rPr>
          <w:rFonts w:asciiTheme="minorHAnsi" w:hAnsiTheme="minorHAnsi" w:cstheme="minorHAnsi"/>
          <w:iCs/>
          <w:sz w:val="22"/>
        </w:rPr>
        <w:t>full-</w:t>
      </w:r>
      <w:r w:rsidRPr="004969CE">
        <w:rPr>
          <w:rFonts w:asciiTheme="minorHAnsi" w:hAnsiTheme="minorHAnsi" w:cstheme="minorHAnsi"/>
          <w:iCs/>
          <w:sz w:val="22"/>
        </w:rPr>
        <w:t xml:space="preserve">ripe stage (73 mg/100g), indicating that this treatment may have positively influenced lycopene synthesis </w:t>
      </w:r>
      <w:r w:rsidRPr="004969CE">
        <w:rPr>
          <w:rFonts w:asciiTheme="minorHAnsi" w:hAnsiTheme="minorHAnsi" w:cstheme="minorHAnsi"/>
          <w:iCs/>
          <w:sz w:val="22"/>
        </w:rPr>
        <w:t>during ripening</w:t>
      </w:r>
      <w:r w:rsidR="00E52DEF" w:rsidRPr="004969CE">
        <w:rPr>
          <w:rFonts w:asciiTheme="minorHAnsi" w:hAnsiTheme="minorHAnsi" w:cstheme="minorHAnsi"/>
          <w:iCs/>
          <w:sz w:val="22"/>
        </w:rPr>
        <w:t xml:space="preserve"> (Figure 4)</w:t>
      </w:r>
      <w:r w:rsidRPr="004969CE">
        <w:rPr>
          <w:rFonts w:asciiTheme="minorHAnsi" w:hAnsiTheme="minorHAnsi" w:cstheme="minorHAnsi"/>
          <w:iCs/>
          <w:sz w:val="22"/>
        </w:rPr>
        <w:t>. The data suggests that different treatments</w:t>
      </w:r>
      <w:r w:rsidR="00755683" w:rsidRPr="004969CE">
        <w:rPr>
          <w:rFonts w:asciiTheme="minorHAnsi" w:hAnsiTheme="minorHAnsi" w:cstheme="minorHAnsi"/>
          <w:iCs/>
          <w:sz w:val="22"/>
        </w:rPr>
        <w:t xml:space="preserve"> </w:t>
      </w:r>
      <w:r w:rsidRPr="004969CE">
        <w:rPr>
          <w:rFonts w:asciiTheme="minorHAnsi" w:hAnsiTheme="minorHAnsi" w:cstheme="minorHAnsi"/>
          <w:iCs/>
          <w:sz w:val="22"/>
        </w:rPr>
        <w:t xml:space="preserve">have varying impacts on lycopene accumulation at different maturity stages. Notably, the red ripe stage consistently shows the highest lycopene content across most groups, reinforcing that lycopene synthesis is strongly associated with fruit maturation. </w:t>
      </w:r>
      <w:r w:rsidR="00801301" w:rsidRPr="004969CE">
        <w:rPr>
          <w:rFonts w:asciiTheme="minorHAnsi" w:hAnsiTheme="minorHAnsi" w:cstheme="minorHAnsi"/>
          <w:iCs/>
          <w:sz w:val="22"/>
        </w:rPr>
        <w:t xml:space="preserve">However, lycopene content declines sharply when plants are submerged to more than 72 hours. </w:t>
      </w:r>
      <w:r w:rsidRPr="004969CE">
        <w:rPr>
          <w:rFonts w:asciiTheme="minorHAnsi" w:hAnsiTheme="minorHAnsi" w:cstheme="minorHAnsi"/>
          <w:iCs/>
          <w:sz w:val="22"/>
        </w:rPr>
        <w:t xml:space="preserve">The variability in lycopene content among the experimental groups indicates that specific treatments may enhance or inhibit the natural processes of lycopene accumulation. </w:t>
      </w:r>
    </w:p>
    <w:p w14:paraId="204C1CD2" w14:textId="53CEEE4B" w:rsidR="0062784F" w:rsidRPr="004969CE" w:rsidRDefault="00EF6B89" w:rsidP="004969CE">
      <w:pPr>
        <w:pStyle w:val="BulletPoints"/>
        <w:keepNext/>
        <w:tabs>
          <w:tab w:val="clear" w:pos="720"/>
        </w:tabs>
        <w:spacing w:after="0"/>
        <w:ind w:left="0" w:firstLine="0"/>
        <w:rPr>
          <w:rFonts w:asciiTheme="minorHAnsi" w:hAnsiTheme="minorHAnsi" w:cstheme="minorHAnsi"/>
          <w:sz w:val="22"/>
        </w:rPr>
      </w:pPr>
      <w:r w:rsidRPr="004969CE">
        <w:rPr>
          <w:rFonts w:asciiTheme="minorHAnsi" w:hAnsiTheme="minorHAnsi" w:cstheme="minorHAnsi"/>
          <w:noProof/>
        </w:rPr>
        <w:drawing>
          <wp:inline distT="0" distB="0" distL="0" distR="0" wp14:anchorId="449886DE" wp14:editId="127B574A">
            <wp:extent cx="3190875" cy="3533775"/>
            <wp:effectExtent l="0" t="0" r="9525" b="9525"/>
            <wp:docPr id="1684295348" name="Chart 1">
              <a:extLst xmlns:a="http://schemas.openxmlformats.org/drawingml/2006/main">
                <a:ext uri="{FF2B5EF4-FFF2-40B4-BE49-F238E27FC236}">
                  <a16:creationId xmlns:a16="http://schemas.microsoft.com/office/drawing/2014/main" id="{AAB2FA36-2F80-3E88-D3C8-C393D4AE95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C31486" w14:textId="216F72A2" w:rsidR="0062784F" w:rsidRPr="004969CE" w:rsidRDefault="0062784F" w:rsidP="004969CE">
      <w:pPr>
        <w:pStyle w:val="Caption"/>
        <w:spacing w:after="0"/>
        <w:jc w:val="both"/>
        <w:rPr>
          <w:rFonts w:asciiTheme="minorHAnsi" w:hAnsiTheme="minorHAnsi" w:cstheme="minorHAnsi"/>
          <w:color w:val="auto"/>
          <w:sz w:val="20"/>
          <w:szCs w:val="20"/>
        </w:rPr>
      </w:pPr>
      <w:r w:rsidRPr="004969CE">
        <w:rPr>
          <w:rFonts w:asciiTheme="minorHAnsi" w:hAnsiTheme="minorHAnsi" w:cstheme="minorHAnsi"/>
          <w:color w:val="auto"/>
          <w:sz w:val="20"/>
          <w:szCs w:val="20"/>
        </w:rPr>
        <w:t xml:space="preserve">Figure </w:t>
      </w:r>
      <w:r w:rsidRPr="004969CE">
        <w:rPr>
          <w:rFonts w:asciiTheme="minorHAnsi" w:hAnsiTheme="minorHAnsi" w:cstheme="minorHAnsi"/>
          <w:color w:val="auto"/>
          <w:sz w:val="20"/>
          <w:szCs w:val="20"/>
        </w:rPr>
        <w:fldChar w:fldCharType="begin"/>
      </w:r>
      <w:r w:rsidRPr="004969CE">
        <w:rPr>
          <w:rFonts w:asciiTheme="minorHAnsi" w:hAnsiTheme="minorHAnsi" w:cstheme="minorHAnsi"/>
          <w:color w:val="auto"/>
          <w:sz w:val="20"/>
          <w:szCs w:val="20"/>
        </w:rPr>
        <w:instrText xml:space="preserve"> SEQ Figure \* ARABIC </w:instrText>
      </w:r>
      <w:r w:rsidRPr="004969CE">
        <w:rPr>
          <w:rFonts w:asciiTheme="minorHAnsi" w:hAnsiTheme="minorHAnsi" w:cstheme="minorHAnsi"/>
          <w:color w:val="auto"/>
          <w:sz w:val="20"/>
          <w:szCs w:val="20"/>
        </w:rPr>
        <w:fldChar w:fldCharType="separate"/>
      </w:r>
      <w:r w:rsidR="003A05F5">
        <w:rPr>
          <w:rFonts w:asciiTheme="minorHAnsi" w:hAnsiTheme="minorHAnsi" w:cstheme="minorHAnsi"/>
          <w:noProof/>
          <w:color w:val="auto"/>
          <w:sz w:val="20"/>
          <w:szCs w:val="20"/>
        </w:rPr>
        <w:t>4</w:t>
      </w:r>
      <w:r w:rsidRPr="004969CE">
        <w:rPr>
          <w:rFonts w:asciiTheme="minorHAnsi" w:hAnsiTheme="minorHAnsi" w:cstheme="minorHAnsi"/>
          <w:color w:val="auto"/>
          <w:sz w:val="20"/>
          <w:szCs w:val="20"/>
        </w:rPr>
        <w:fldChar w:fldCharType="end"/>
      </w:r>
      <w:r w:rsidRPr="004969CE">
        <w:rPr>
          <w:rFonts w:asciiTheme="minorHAnsi" w:hAnsiTheme="minorHAnsi" w:cstheme="minorHAnsi"/>
          <w:color w:val="auto"/>
          <w:sz w:val="20"/>
          <w:szCs w:val="20"/>
        </w:rPr>
        <w:t xml:space="preserve">: </w:t>
      </w:r>
      <w:r w:rsidR="00F107C2" w:rsidRPr="004969CE">
        <w:rPr>
          <w:rFonts w:asciiTheme="minorHAnsi" w:hAnsiTheme="minorHAnsi" w:cstheme="minorHAnsi"/>
          <w:color w:val="auto"/>
          <w:sz w:val="20"/>
          <w:szCs w:val="20"/>
        </w:rPr>
        <w:t>Mean ±SE showing lycopene content (mg/kg) of different maturity stages at various waterlogging depths and durations. The combined effect of waterlogging depth and duration is significant (p&lt;0.05). A linear trendline depicts increasing lycopene content across all stages.</w:t>
      </w:r>
    </w:p>
    <w:p w14:paraId="3F209F70" w14:textId="77777777" w:rsidR="00F107C2" w:rsidRPr="004969CE" w:rsidRDefault="00F107C2" w:rsidP="004969CE">
      <w:pPr>
        <w:rPr>
          <w:rFonts w:asciiTheme="minorHAnsi" w:hAnsiTheme="minorHAnsi" w:cstheme="minorHAnsi"/>
        </w:rPr>
      </w:pPr>
    </w:p>
    <w:p w14:paraId="18AAA35F" w14:textId="752A363D" w:rsidR="00611C4B" w:rsidRPr="004969CE" w:rsidRDefault="00611C4B" w:rsidP="004969CE">
      <w:pPr>
        <w:pStyle w:val="BulletPoints"/>
        <w:numPr>
          <w:ilvl w:val="0"/>
          <w:numId w:val="8"/>
        </w:numPr>
        <w:spacing w:after="0"/>
        <w:rPr>
          <w:rFonts w:asciiTheme="minorHAnsi" w:hAnsiTheme="minorHAnsi" w:cstheme="minorHAnsi"/>
          <w:iCs/>
          <w:sz w:val="22"/>
        </w:rPr>
      </w:pPr>
      <w:r w:rsidRPr="004969CE">
        <w:rPr>
          <w:rFonts w:asciiTheme="minorHAnsi" w:hAnsiTheme="minorHAnsi" w:cstheme="minorHAnsi"/>
          <w:iCs/>
          <w:sz w:val="22"/>
        </w:rPr>
        <w:t xml:space="preserve">This research suggests a toolkit for off-season farmers that should consider a controlled environmental condition, </w:t>
      </w:r>
      <w:r w:rsidR="003038F7" w:rsidRPr="004969CE">
        <w:rPr>
          <w:rFonts w:asciiTheme="minorHAnsi" w:hAnsiTheme="minorHAnsi" w:cstheme="minorHAnsi"/>
          <w:iCs/>
          <w:sz w:val="22"/>
        </w:rPr>
        <w:t xml:space="preserve">with </w:t>
      </w:r>
      <w:r w:rsidRPr="004969CE">
        <w:rPr>
          <w:rFonts w:asciiTheme="minorHAnsi" w:hAnsiTheme="minorHAnsi" w:cstheme="minorHAnsi"/>
          <w:iCs/>
          <w:sz w:val="22"/>
        </w:rPr>
        <w:t xml:space="preserve">appropriate cultivar selection and the amended soil requirement recommended for tomato growth. These strategies could be crucial for agricultural practices aimed at optimizing tomato quality and nutritional value, particularly in the context of water management. </w:t>
      </w:r>
    </w:p>
    <w:p w14:paraId="5772CC0B" w14:textId="77777777" w:rsidR="004969CE" w:rsidRPr="004969CE" w:rsidRDefault="004969CE" w:rsidP="004969CE">
      <w:pPr>
        <w:pStyle w:val="BulletPoints"/>
        <w:tabs>
          <w:tab w:val="clear" w:pos="720"/>
        </w:tabs>
        <w:ind w:left="0" w:firstLine="0"/>
        <w:rPr>
          <w:rFonts w:asciiTheme="minorHAnsi" w:hAnsiTheme="minorHAnsi" w:cstheme="minorHAnsi"/>
          <w:b/>
          <w:color w:val="864EA8" w:themeColor="accent1" w:themeShade="BF"/>
          <w:sz w:val="22"/>
        </w:rPr>
      </w:pPr>
    </w:p>
    <w:p w14:paraId="6837D797" w14:textId="6F1017ED" w:rsidR="0062706F" w:rsidRPr="004969CE" w:rsidRDefault="004969CE" w:rsidP="004969CE">
      <w:pPr>
        <w:pStyle w:val="BulletPoints"/>
        <w:tabs>
          <w:tab w:val="clear" w:pos="720"/>
        </w:tabs>
        <w:ind w:left="0" w:firstLine="0"/>
        <w:rPr>
          <w:rFonts w:asciiTheme="minorHAnsi" w:hAnsiTheme="minorHAnsi" w:cstheme="minorHAnsi"/>
          <w:b/>
          <w:color w:val="864EA8" w:themeColor="accent1" w:themeShade="BF"/>
          <w:sz w:val="22"/>
        </w:rPr>
      </w:pPr>
      <w:r w:rsidRPr="004969CE">
        <w:rPr>
          <w:rFonts w:asciiTheme="minorHAnsi" w:hAnsiTheme="minorHAnsi" w:cstheme="minorHAnsi"/>
          <w:b/>
          <w:color w:val="864EA8" w:themeColor="accent1" w:themeShade="BF"/>
          <w:sz w:val="22"/>
        </w:rPr>
        <w:lastRenderedPageBreak/>
        <w:t>I</w:t>
      </w:r>
      <w:r w:rsidR="0062706F" w:rsidRPr="004969CE">
        <w:rPr>
          <w:rFonts w:asciiTheme="minorHAnsi" w:hAnsiTheme="minorHAnsi" w:cstheme="minorHAnsi"/>
          <w:b/>
          <w:color w:val="864EA8" w:themeColor="accent1" w:themeShade="BF"/>
          <w:sz w:val="22"/>
        </w:rPr>
        <w:t>mplications</w:t>
      </w:r>
    </w:p>
    <w:p w14:paraId="358AF35E" w14:textId="77777777" w:rsidR="0062706F" w:rsidRPr="004969CE" w:rsidRDefault="0062706F" w:rsidP="004969CE">
      <w:pPr>
        <w:pStyle w:val="BulletPoints"/>
        <w:numPr>
          <w:ilvl w:val="0"/>
          <w:numId w:val="9"/>
        </w:numPr>
        <w:spacing w:after="0"/>
        <w:ind w:left="362" w:hanging="362"/>
        <w:rPr>
          <w:rFonts w:asciiTheme="minorHAnsi" w:hAnsiTheme="minorHAnsi" w:cstheme="minorHAnsi"/>
          <w:iCs/>
          <w:sz w:val="22"/>
        </w:rPr>
      </w:pPr>
      <w:r w:rsidRPr="004969CE">
        <w:rPr>
          <w:rFonts w:asciiTheme="minorHAnsi" w:hAnsiTheme="minorHAnsi" w:cstheme="minorHAnsi"/>
          <w:iCs/>
          <w:sz w:val="22"/>
        </w:rPr>
        <w:t>The study’s findings on waterlogging in tomatoes highlight a crucial challenge for agriculture in Fiji—climate change. Rising sea levels, increased rainfall variability, and extreme weather events exacerbate flooding and waterlogging, threatening agricultural productivity. Prolonged waterlogging reduces yields, a concern for smallholder farmers who rely on crops for subsistence and income. Understanding how different soil compositions and environmental controls mitigate these effects can help in climate adaptation strategies, ensuring more resilient agricultural systems in Fiji.</w:t>
      </w:r>
    </w:p>
    <w:p w14:paraId="2EA72275" w14:textId="77777777" w:rsidR="0062706F" w:rsidRPr="004969CE" w:rsidRDefault="0062706F" w:rsidP="004969CE">
      <w:pPr>
        <w:pStyle w:val="BulletPoints"/>
        <w:tabs>
          <w:tab w:val="clear" w:pos="720"/>
        </w:tabs>
        <w:spacing w:after="0"/>
        <w:ind w:left="362" w:firstLine="0"/>
        <w:rPr>
          <w:rFonts w:asciiTheme="minorHAnsi" w:hAnsiTheme="minorHAnsi" w:cstheme="minorHAnsi"/>
          <w:iCs/>
          <w:sz w:val="22"/>
        </w:rPr>
      </w:pPr>
    </w:p>
    <w:p w14:paraId="5CE1BD04" w14:textId="421AB751" w:rsidR="0062706F" w:rsidRPr="004969CE" w:rsidRDefault="0062706F" w:rsidP="004969CE">
      <w:pPr>
        <w:pStyle w:val="BulletPoints"/>
        <w:numPr>
          <w:ilvl w:val="0"/>
          <w:numId w:val="9"/>
        </w:numPr>
        <w:spacing w:after="0"/>
        <w:ind w:left="362" w:hanging="362"/>
        <w:rPr>
          <w:rFonts w:asciiTheme="minorHAnsi" w:hAnsiTheme="minorHAnsi" w:cstheme="minorHAnsi"/>
          <w:iCs/>
          <w:sz w:val="22"/>
        </w:rPr>
      </w:pPr>
      <w:r w:rsidRPr="004969CE">
        <w:rPr>
          <w:rFonts w:asciiTheme="minorHAnsi" w:hAnsiTheme="minorHAnsi" w:cstheme="minorHAnsi"/>
          <w:iCs/>
          <w:sz w:val="22"/>
        </w:rPr>
        <w:t xml:space="preserve">Agriculture </w:t>
      </w:r>
      <w:r w:rsidR="002C2157" w:rsidRPr="004969CE">
        <w:rPr>
          <w:rFonts w:asciiTheme="minorHAnsi" w:hAnsiTheme="minorHAnsi" w:cstheme="minorHAnsi"/>
          <w:iCs/>
          <w:sz w:val="22"/>
        </w:rPr>
        <w:t>was</w:t>
      </w:r>
      <w:r w:rsidRPr="004969CE">
        <w:rPr>
          <w:rFonts w:asciiTheme="minorHAnsi" w:hAnsiTheme="minorHAnsi" w:cstheme="minorHAnsi"/>
          <w:iCs/>
          <w:sz w:val="22"/>
        </w:rPr>
        <w:t xml:space="preserve"> the backbone of Fiji’s economy, providing employment and contributing to GDP. Vegetables and other horticultural crops are essential for local food security, reducing dependence on costly imports. However, the study shows that without proper soil management and environmental controls, waterlogging can significantly impact crop yields. This insight underscores the need for investment in sustainable farming practices, such as improved drainage systems, greenhouse technology, and soil enrichment, to enhance productivity and ensure stable food supplies.</w:t>
      </w:r>
    </w:p>
    <w:p w14:paraId="5B1D2C7A" w14:textId="77777777" w:rsidR="0062706F" w:rsidRPr="004969CE" w:rsidRDefault="0062706F" w:rsidP="004969CE">
      <w:pPr>
        <w:pStyle w:val="ListParagraph"/>
        <w:rPr>
          <w:rFonts w:asciiTheme="minorHAnsi" w:hAnsiTheme="minorHAnsi" w:cstheme="minorHAnsi"/>
        </w:rPr>
      </w:pPr>
    </w:p>
    <w:p w14:paraId="09401EFD" w14:textId="6430431C" w:rsidR="0062706F" w:rsidRPr="004969CE" w:rsidRDefault="0062706F" w:rsidP="004969CE">
      <w:pPr>
        <w:pStyle w:val="BulletPoints"/>
        <w:numPr>
          <w:ilvl w:val="0"/>
          <w:numId w:val="9"/>
        </w:numPr>
        <w:spacing w:after="0"/>
        <w:ind w:left="362" w:hanging="362"/>
        <w:rPr>
          <w:rFonts w:asciiTheme="minorHAnsi" w:hAnsiTheme="minorHAnsi" w:cstheme="minorHAnsi"/>
          <w:iCs/>
          <w:sz w:val="22"/>
        </w:rPr>
      </w:pPr>
      <w:r w:rsidRPr="004969CE">
        <w:rPr>
          <w:rFonts w:asciiTheme="minorHAnsi" w:hAnsiTheme="minorHAnsi" w:cstheme="minorHAnsi"/>
          <w:sz w:val="22"/>
        </w:rPr>
        <w:t>The study also emphasizes the role of soil quality, shade structures, and controlled environments in mitigating climate stress</w:t>
      </w:r>
      <w:r w:rsidR="00301F41" w:rsidRPr="004969CE">
        <w:rPr>
          <w:rFonts w:asciiTheme="minorHAnsi" w:hAnsiTheme="minorHAnsi" w:cstheme="minorHAnsi"/>
          <w:sz w:val="22"/>
        </w:rPr>
        <w:t xml:space="preserve"> for off-season crops</w:t>
      </w:r>
      <w:r w:rsidRPr="004969CE">
        <w:rPr>
          <w:rFonts w:asciiTheme="minorHAnsi" w:hAnsiTheme="minorHAnsi" w:cstheme="minorHAnsi"/>
          <w:sz w:val="22"/>
        </w:rPr>
        <w:t>. For Fiji, promoting agroecological approaches, such as integrating organic matter (compost), utilizing raised beds, and improving irrigation, can be vital strategies for increasing resilience against extreme weather events. Policymakers should prioritize research funding, farmer training, and subsidies for sustainable infrastructure to support smallholder farmers in adapting to climate-induced challenges.</w:t>
      </w:r>
    </w:p>
    <w:p w14:paraId="7BF17B24" w14:textId="77777777" w:rsidR="0062706F" w:rsidRPr="004969CE" w:rsidRDefault="0062706F" w:rsidP="004969CE">
      <w:pPr>
        <w:pStyle w:val="ListParagraph"/>
        <w:rPr>
          <w:rFonts w:asciiTheme="minorHAnsi" w:hAnsiTheme="minorHAnsi" w:cstheme="minorHAnsi"/>
        </w:rPr>
      </w:pPr>
    </w:p>
    <w:p w14:paraId="7A0E0CDC" w14:textId="77777777" w:rsidR="0062706F" w:rsidRPr="004969CE" w:rsidRDefault="0062706F" w:rsidP="004969CE">
      <w:pPr>
        <w:pStyle w:val="BulletPoints"/>
        <w:numPr>
          <w:ilvl w:val="0"/>
          <w:numId w:val="9"/>
        </w:numPr>
        <w:spacing w:after="0"/>
        <w:ind w:left="362" w:hanging="362"/>
        <w:rPr>
          <w:rFonts w:asciiTheme="minorHAnsi" w:hAnsiTheme="minorHAnsi" w:cstheme="minorHAnsi"/>
          <w:iCs/>
          <w:sz w:val="22"/>
        </w:rPr>
      </w:pPr>
      <w:r w:rsidRPr="004969CE">
        <w:rPr>
          <w:rFonts w:asciiTheme="minorHAnsi" w:hAnsiTheme="minorHAnsi" w:cstheme="minorHAnsi"/>
          <w:sz w:val="22"/>
        </w:rPr>
        <w:t>By addressing these issues, Fiji can strengthen its agricultural sector, ensuring food security, economic stability, and climate resilience for future generations.</w:t>
      </w:r>
    </w:p>
    <w:p w14:paraId="08104CA3" w14:textId="77777777" w:rsidR="0062706F" w:rsidRPr="004969CE" w:rsidRDefault="0062706F" w:rsidP="004969CE">
      <w:pPr>
        <w:pStyle w:val="ListParagraph"/>
        <w:rPr>
          <w:rFonts w:asciiTheme="minorHAnsi" w:hAnsiTheme="minorHAnsi" w:cstheme="minorHAnsi"/>
          <w:iCs/>
        </w:rPr>
      </w:pPr>
    </w:p>
    <w:p w14:paraId="34AA2B2C" w14:textId="77777777" w:rsidR="004969CE" w:rsidRPr="004969CE" w:rsidRDefault="004969CE" w:rsidP="004969CE">
      <w:pPr>
        <w:pStyle w:val="BulletPoints"/>
        <w:tabs>
          <w:tab w:val="clear" w:pos="720"/>
        </w:tabs>
        <w:ind w:left="0" w:firstLine="0"/>
        <w:jc w:val="left"/>
        <w:rPr>
          <w:rFonts w:asciiTheme="minorHAnsi" w:hAnsiTheme="minorHAnsi" w:cstheme="minorHAnsi"/>
          <w:b/>
          <w:color w:val="864EA8" w:themeColor="accent1" w:themeShade="BF"/>
          <w:sz w:val="22"/>
        </w:rPr>
      </w:pPr>
      <w:bookmarkStart w:id="1" w:name="_Hlk189048638"/>
    </w:p>
    <w:p w14:paraId="64350222" w14:textId="77777777" w:rsidR="004969CE" w:rsidRPr="004969CE" w:rsidRDefault="004969CE" w:rsidP="004969CE">
      <w:pPr>
        <w:pStyle w:val="BulletPoints"/>
        <w:tabs>
          <w:tab w:val="clear" w:pos="720"/>
        </w:tabs>
        <w:ind w:left="0" w:firstLine="0"/>
        <w:jc w:val="left"/>
        <w:rPr>
          <w:rFonts w:asciiTheme="minorHAnsi" w:hAnsiTheme="minorHAnsi" w:cstheme="minorHAnsi"/>
          <w:b/>
          <w:color w:val="864EA8" w:themeColor="accent1" w:themeShade="BF"/>
          <w:sz w:val="22"/>
        </w:rPr>
      </w:pPr>
    </w:p>
    <w:p w14:paraId="0923BCCF" w14:textId="7F470FC5" w:rsidR="0062706F" w:rsidRPr="004969CE" w:rsidRDefault="0062706F" w:rsidP="004969CE">
      <w:pPr>
        <w:pStyle w:val="BulletPoints"/>
        <w:tabs>
          <w:tab w:val="clear" w:pos="720"/>
        </w:tabs>
        <w:ind w:left="0" w:firstLine="0"/>
        <w:jc w:val="left"/>
        <w:rPr>
          <w:rFonts w:asciiTheme="minorHAnsi" w:hAnsiTheme="minorHAnsi" w:cstheme="minorHAnsi"/>
          <w:b/>
          <w:color w:val="864EA8" w:themeColor="accent1" w:themeShade="BF"/>
          <w:sz w:val="22"/>
        </w:rPr>
      </w:pPr>
      <w:r w:rsidRPr="004969CE">
        <w:rPr>
          <w:rFonts w:asciiTheme="minorHAnsi" w:hAnsiTheme="minorHAnsi" w:cstheme="minorHAnsi"/>
          <w:b/>
          <w:color w:val="864EA8" w:themeColor="accent1" w:themeShade="BF"/>
          <w:sz w:val="22"/>
        </w:rPr>
        <w:t>Limitations and further research</w:t>
      </w:r>
    </w:p>
    <w:bookmarkEnd w:id="1"/>
    <w:p w14:paraId="3B0EF5FD" w14:textId="77777777" w:rsidR="0062706F" w:rsidRPr="004969CE" w:rsidRDefault="0062706F" w:rsidP="004969CE">
      <w:pPr>
        <w:pStyle w:val="BulletPoints"/>
        <w:numPr>
          <w:ilvl w:val="0"/>
          <w:numId w:val="10"/>
        </w:numPr>
        <w:rPr>
          <w:rFonts w:asciiTheme="minorHAnsi" w:hAnsiTheme="minorHAnsi" w:cstheme="minorHAnsi"/>
          <w:iCs/>
          <w:sz w:val="22"/>
        </w:rPr>
      </w:pPr>
      <w:r w:rsidRPr="004969CE">
        <w:rPr>
          <w:rFonts w:asciiTheme="minorHAnsi" w:hAnsiTheme="minorHAnsi" w:cstheme="minorHAnsi"/>
          <w:iCs/>
          <w:sz w:val="22"/>
        </w:rPr>
        <w:t xml:space="preserve">Limitations of the current study include the controlled setting of the greenhouse, which may not fully replicate field conditions, particularly regarding pest interactions and natural climatic variations. </w:t>
      </w:r>
    </w:p>
    <w:p w14:paraId="47FFCBDE" w14:textId="500FD0A1" w:rsidR="0062706F" w:rsidRPr="004969CE" w:rsidRDefault="0062706F" w:rsidP="004969CE">
      <w:pPr>
        <w:pStyle w:val="BulletPoints"/>
        <w:numPr>
          <w:ilvl w:val="0"/>
          <w:numId w:val="10"/>
        </w:numPr>
        <w:rPr>
          <w:rFonts w:asciiTheme="minorHAnsi" w:hAnsiTheme="minorHAnsi" w:cstheme="minorHAnsi"/>
          <w:iCs/>
          <w:sz w:val="22"/>
        </w:rPr>
      </w:pPr>
      <w:r w:rsidRPr="004969CE">
        <w:rPr>
          <w:rFonts w:asciiTheme="minorHAnsi" w:hAnsiTheme="minorHAnsi" w:cstheme="minorHAnsi"/>
          <w:iCs/>
          <w:sz w:val="22"/>
        </w:rPr>
        <w:t xml:space="preserve">Secondly, the study primarily focuses on growth and yield parameters without delving deeply into the molecular mechanisms underlying the observed responses to waterlogging, which could provide a more comprehensive understanding of plant resilience </w:t>
      </w:r>
      <w:r w:rsidRPr="004969CE">
        <w:rPr>
          <w:rFonts w:asciiTheme="minorHAnsi" w:hAnsiTheme="minorHAnsi" w:cstheme="minorHAnsi"/>
          <w:iCs/>
          <w:sz w:val="22"/>
        </w:rPr>
        <w:fldChar w:fldCharType="begin"/>
      </w:r>
      <w:r w:rsidR="005B4C9D" w:rsidRPr="004969CE">
        <w:rPr>
          <w:rFonts w:asciiTheme="minorHAnsi" w:hAnsiTheme="minorHAnsi" w:cstheme="minorHAnsi"/>
          <w:iCs/>
          <w:sz w:val="22"/>
        </w:rPr>
        <w:instrText xml:space="preserve"> ADDIN EN.CITE &lt;EndNote&gt;&lt;Cite&gt;&lt;Author&gt;Zhou&lt;/Author&gt;&lt;Year&gt;2022&lt;/Year&gt;&lt;RecNum&gt;370&lt;/RecNum&gt;&lt;DisplayText&gt;(Zhou et al. 2022)&lt;/DisplayText&gt;&lt;record&gt;&lt;rec-number&gt;370&lt;/rec-number&gt;&lt;foreign-keys&gt;&lt;key app="EN" db-id="xf9rwp0zu0rpdaedpswxafpaf5ee5wtp5wse" timestamp="1727860349" guid="929c7e39-5084-4288-855d-527931495090"&gt;370&lt;/key&gt;&lt;/foreign-keys&gt;&lt;ref-type name="Journal Article"&gt;17&lt;/ref-type&gt;&lt;contributors&gt;&lt;authors&gt;&lt;author&gt;Zhou, Rong&lt;/author&gt;&lt;author&gt;Jiang, Fangling&lt;/author&gt;&lt;author&gt;Yu, Xiaqing&lt;/author&gt;&lt;author&gt;Abdelhakim, Lamis O. A.&lt;/author&gt;&lt;author&gt;Li, Xiangnan&lt;/author&gt;&lt;author&gt;Rosenqvist, Eva&lt;/author&gt;&lt;author&gt;Ottosen, Carl‐Otto&lt;/author&gt;&lt;author&gt;Zhang, Wu&lt;/author&gt;&lt;/authors&gt;&lt;/contributors&gt;&lt;titles&gt;&lt;title&gt;Dominant and Priming Role of Waterlogging in Tomato at E[CO2] by Multivariate Analysis&lt;/title&gt;&lt;secondary-title&gt;International Journal of Molecular Sciences&lt;/secondary-title&gt;&lt;/titles&gt;&lt;periodical&gt;&lt;full-title&gt;International Journal of Molecular Sciences&lt;/full-title&gt;&lt;/periodical&gt;&lt;pages&gt;12121&lt;/pages&gt;&lt;volume&gt;23&lt;/volume&gt;&lt;number&gt;20&lt;/number&gt;&lt;dates&gt;&lt;year&gt;2022&lt;/year&gt;&lt;/dates&gt;&lt;urls&gt;&lt;/urls&gt;&lt;electronic-resource-num&gt;10.3390/ijms232012121&lt;/electronic-resource-num&gt;&lt;/record&gt;&lt;/Cite&gt;&lt;/EndNote&gt;</w:instrText>
      </w:r>
      <w:r w:rsidRPr="004969CE">
        <w:rPr>
          <w:rFonts w:asciiTheme="minorHAnsi" w:hAnsiTheme="minorHAnsi" w:cstheme="minorHAnsi"/>
          <w:iCs/>
          <w:sz w:val="22"/>
        </w:rPr>
        <w:fldChar w:fldCharType="separate"/>
      </w:r>
      <w:r w:rsidR="005B4C9D" w:rsidRPr="004969CE">
        <w:rPr>
          <w:rFonts w:asciiTheme="minorHAnsi" w:hAnsiTheme="minorHAnsi" w:cstheme="minorHAnsi"/>
          <w:iCs/>
          <w:noProof/>
          <w:sz w:val="22"/>
        </w:rPr>
        <w:t>(Zhou et al. 2022)</w:t>
      </w:r>
      <w:r w:rsidRPr="004969CE">
        <w:rPr>
          <w:rFonts w:asciiTheme="minorHAnsi" w:hAnsiTheme="minorHAnsi" w:cstheme="minorHAnsi"/>
          <w:iCs/>
          <w:sz w:val="22"/>
        </w:rPr>
        <w:fldChar w:fldCharType="end"/>
      </w:r>
      <w:r w:rsidRPr="004969CE">
        <w:rPr>
          <w:rFonts w:asciiTheme="minorHAnsi" w:hAnsiTheme="minorHAnsi" w:cstheme="minorHAnsi"/>
          <w:iCs/>
          <w:sz w:val="22"/>
        </w:rPr>
        <w:t>.</w:t>
      </w:r>
    </w:p>
    <w:p w14:paraId="3B3CDF23" w14:textId="77777777" w:rsidR="0062706F" w:rsidRPr="004969CE" w:rsidRDefault="0062706F" w:rsidP="004969CE">
      <w:pPr>
        <w:pStyle w:val="BulletPoints"/>
        <w:numPr>
          <w:ilvl w:val="0"/>
          <w:numId w:val="10"/>
        </w:numPr>
        <w:rPr>
          <w:rFonts w:asciiTheme="minorHAnsi" w:hAnsiTheme="minorHAnsi" w:cstheme="minorHAnsi"/>
          <w:iCs/>
          <w:sz w:val="22"/>
        </w:rPr>
      </w:pPr>
      <w:r w:rsidRPr="004969CE">
        <w:rPr>
          <w:rFonts w:asciiTheme="minorHAnsi" w:hAnsiTheme="minorHAnsi" w:cstheme="minorHAnsi"/>
          <w:iCs/>
          <w:sz w:val="22"/>
        </w:rPr>
        <w:t>Thirdly, while applying peat moss is recommended due to its superior water retention and aeration properties compared to gravel, the study's findings may not fully capture the long-term effects of different soil amendments on tomato growth. The variability in soil composition can significantly influence nutrient availability and plant performance, and further research is needed to explore the implications of using peat moss in various agricultural contexts. Additionally, the reliance on peat moss raises sustainability concerns, as its extraction can have environmental impacts.</w:t>
      </w:r>
    </w:p>
    <w:p w14:paraId="2949133D" w14:textId="77777777" w:rsidR="0062706F" w:rsidRPr="004969CE" w:rsidRDefault="0062706F" w:rsidP="004969CE">
      <w:pPr>
        <w:pStyle w:val="BulletPoints"/>
        <w:numPr>
          <w:ilvl w:val="0"/>
          <w:numId w:val="10"/>
        </w:numPr>
        <w:spacing w:after="0"/>
        <w:rPr>
          <w:rFonts w:asciiTheme="minorHAnsi" w:hAnsiTheme="minorHAnsi" w:cstheme="minorHAnsi"/>
          <w:iCs/>
          <w:sz w:val="22"/>
        </w:rPr>
      </w:pPr>
      <w:r w:rsidRPr="004969CE">
        <w:rPr>
          <w:rFonts w:asciiTheme="minorHAnsi" w:hAnsiTheme="minorHAnsi" w:cstheme="minorHAnsi"/>
          <w:iCs/>
          <w:sz w:val="22"/>
        </w:rPr>
        <w:t>Lastly, while widely accepted, utilising SPSS software for data analysis may limit the exploration of alternative analytical models that could provide deeper insights into the data. Employing other statistical models could enhance understanding of complex interactions between variables affecting tomato growth. The current reliance on SPSS may restrict the scope of analysis and limit the ability to draw comprehensive conclusions from the data.</w:t>
      </w:r>
    </w:p>
    <w:p w14:paraId="7373D69C" w14:textId="77777777" w:rsidR="0062706F" w:rsidRPr="004969CE" w:rsidRDefault="0062706F" w:rsidP="004969CE">
      <w:pPr>
        <w:pStyle w:val="BulletPoints"/>
        <w:tabs>
          <w:tab w:val="clear" w:pos="720"/>
        </w:tabs>
        <w:spacing w:after="0"/>
        <w:ind w:left="360" w:firstLine="0"/>
        <w:rPr>
          <w:rFonts w:asciiTheme="minorHAnsi" w:hAnsiTheme="minorHAnsi" w:cstheme="minorHAnsi"/>
          <w:iCs/>
          <w:sz w:val="22"/>
        </w:rPr>
      </w:pPr>
    </w:p>
    <w:p w14:paraId="3DFD1B81" w14:textId="176D2FA3" w:rsidR="0062706F" w:rsidRPr="004969CE" w:rsidRDefault="0062706F" w:rsidP="004969CE">
      <w:pPr>
        <w:pStyle w:val="BulletPoints"/>
        <w:numPr>
          <w:ilvl w:val="0"/>
          <w:numId w:val="10"/>
        </w:numPr>
        <w:spacing w:after="0"/>
        <w:rPr>
          <w:rFonts w:asciiTheme="minorHAnsi" w:eastAsia="Calibri" w:hAnsiTheme="minorHAnsi" w:cstheme="minorHAnsi"/>
          <w:sz w:val="22"/>
        </w:rPr>
      </w:pPr>
      <w:r w:rsidRPr="004969CE">
        <w:rPr>
          <w:rFonts w:asciiTheme="minorHAnsi" w:hAnsiTheme="minorHAnsi" w:cstheme="minorHAnsi"/>
          <w:iCs/>
          <w:sz w:val="22"/>
        </w:rPr>
        <w:t xml:space="preserve">Future research should focus on the long-term effects of waterlogging on tomato plants, particularly in varying climatic conditions and soil types. Investigating different tomato genotypes' physiological and biochemical responses to waterlogging could also provide insights into breeding more resilient varieties. Additionally, exploring the role of nutrient management during waterlogging events may enhance fruit quality and yield, as nutrient availability can significantly influence plant stress responses. </w:t>
      </w:r>
    </w:p>
    <w:p w14:paraId="35AEBD47" w14:textId="77777777" w:rsidR="0062706F" w:rsidRPr="00474D8E" w:rsidRDefault="0062706F" w:rsidP="0062706F">
      <w:pPr>
        <w:pStyle w:val="BulletPoints"/>
        <w:tabs>
          <w:tab w:val="clear" w:pos="720"/>
        </w:tabs>
        <w:spacing w:after="0"/>
        <w:ind w:left="0" w:firstLine="0"/>
        <w:rPr>
          <w:rFonts w:asciiTheme="minorHAnsi" w:hAnsiTheme="minorHAnsi" w:cstheme="minorHAnsi"/>
          <w:iCs/>
          <w:sz w:val="22"/>
        </w:rPr>
      </w:pPr>
    </w:p>
    <w:p w14:paraId="1C98DC01" w14:textId="77777777" w:rsidR="00165F36" w:rsidRPr="009F28FE" w:rsidRDefault="00165F36" w:rsidP="00474D8E">
      <w:pPr>
        <w:pBdr>
          <w:top w:val="nil"/>
          <w:left w:val="nil"/>
          <w:bottom w:val="nil"/>
          <w:right w:val="nil"/>
          <w:between w:val="nil"/>
        </w:pBdr>
        <w:spacing w:after="240" w:line="276" w:lineRule="auto"/>
        <w:ind w:right="1134"/>
        <w:rPr>
          <w:rFonts w:asciiTheme="minorHAnsi" w:eastAsia="Calibri" w:hAnsiTheme="minorHAnsi" w:cstheme="minorHAnsi"/>
          <w:b/>
          <w:color w:val="000000"/>
        </w:rPr>
        <w:sectPr w:rsidR="00165F36" w:rsidRPr="009F28FE">
          <w:type w:val="continuous"/>
          <w:pgSz w:w="11907" w:h="16840"/>
          <w:pgMar w:top="1440" w:right="851" w:bottom="851" w:left="851" w:header="135" w:footer="0" w:gutter="0"/>
          <w:cols w:num="2" w:space="720" w:equalWidth="0">
            <w:col w:w="4742" w:space="720"/>
            <w:col w:w="4742" w:space="0"/>
          </w:cols>
          <w:titlePg/>
        </w:sectPr>
      </w:pPr>
    </w:p>
    <w:p w14:paraId="2F3CCA43" w14:textId="77777777" w:rsidR="00165F36" w:rsidRPr="009F28FE" w:rsidRDefault="00165F36">
      <w:pPr>
        <w:pBdr>
          <w:top w:val="nil"/>
          <w:left w:val="nil"/>
          <w:bottom w:val="nil"/>
          <w:right w:val="nil"/>
          <w:between w:val="nil"/>
        </w:pBdr>
        <w:spacing w:after="240" w:line="276" w:lineRule="auto"/>
        <w:ind w:right="1134"/>
        <w:rPr>
          <w:rFonts w:asciiTheme="minorHAnsi" w:eastAsia="Calibri" w:hAnsiTheme="minorHAnsi" w:cstheme="minorHAnsi"/>
          <w:b/>
          <w:color w:val="864EA8"/>
        </w:rPr>
        <w:sectPr w:rsidR="00165F36" w:rsidRPr="009F28FE">
          <w:headerReference w:type="default" r:id="rId20"/>
          <w:type w:val="continuous"/>
          <w:pgSz w:w="11907" w:h="16840"/>
          <w:pgMar w:top="1440" w:right="851" w:bottom="1440" w:left="851" w:header="0" w:footer="0" w:gutter="0"/>
          <w:cols w:space="720"/>
        </w:sectPr>
      </w:pPr>
    </w:p>
    <w:p w14:paraId="5B465B36" w14:textId="269F842A" w:rsidR="0062706F" w:rsidRPr="0062706F" w:rsidRDefault="0062706F" w:rsidP="0062706F">
      <w:pPr>
        <w:pStyle w:val="BulletPoints"/>
        <w:tabs>
          <w:tab w:val="clear" w:pos="720"/>
        </w:tabs>
        <w:ind w:left="0" w:firstLine="0"/>
        <w:jc w:val="left"/>
        <w:rPr>
          <w:rFonts w:asciiTheme="minorHAnsi" w:hAnsiTheme="minorHAnsi" w:cstheme="minorHAnsi"/>
          <w:b/>
          <w:color w:val="864EA8" w:themeColor="accent1" w:themeShade="BF"/>
          <w:sz w:val="22"/>
        </w:rPr>
      </w:pPr>
      <w:bookmarkStart w:id="2" w:name="_heading=h.44sinio" w:colFirst="0" w:colLast="0"/>
      <w:bookmarkEnd w:id="2"/>
      <w:r w:rsidRPr="0062706F">
        <w:rPr>
          <w:rFonts w:asciiTheme="minorHAnsi" w:hAnsiTheme="minorHAnsi" w:cstheme="minorHAnsi"/>
          <w:b/>
          <w:color w:val="864EA8" w:themeColor="accent1" w:themeShade="BF"/>
          <w:sz w:val="22"/>
        </w:rPr>
        <w:lastRenderedPageBreak/>
        <w:t>References:</w:t>
      </w:r>
    </w:p>
    <w:p w14:paraId="267D98C1" w14:textId="4EE89511" w:rsidR="004969CE" w:rsidRPr="00B127E1" w:rsidRDefault="0062706F" w:rsidP="00675CC3">
      <w:pPr>
        <w:pStyle w:val="EndNoteBibliography"/>
        <w:spacing w:before="240" w:after="240"/>
        <w:ind w:left="360"/>
        <w:jc w:val="both"/>
        <w:rPr>
          <w:rFonts w:asciiTheme="minorHAnsi" w:hAnsiTheme="minorHAnsi" w:cstheme="minorHAnsi"/>
          <w:sz w:val="22"/>
        </w:rPr>
      </w:pPr>
      <w:r w:rsidRPr="00B127E1">
        <w:rPr>
          <w:rFonts w:asciiTheme="minorHAnsi" w:hAnsiTheme="minorHAnsi" w:cstheme="minorHAnsi"/>
          <w:sz w:val="22"/>
        </w:rPr>
        <w:fldChar w:fldCharType="begin"/>
      </w:r>
      <w:r w:rsidRPr="00B127E1">
        <w:rPr>
          <w:rFonts w:asciiTheme="minorHAnsi" w:hAnsiTheme="minorHAnsi" w:cstheme="minorHAnsi"/>
          <w:sz w:val="22"/>
        </w:rPr>
        <w:instrText xml:space="preserve"> ADDIN EN.REFLIST </w:instrText>
      </w:r>
      <w:r w:rsidRPr="00B127E1">
        <w:rPr>
          <w:rFonts w:asciiTheme="minorHAnsi" w:hAnsiTheme="minorHAnsi" w:cstheme="minorHAnsi"/>
          <w:sz w:val="22"/>
        </w:rPr>
        <w:fldChar w:fldCharType="separate"/>
      </w:r>
      <w:r w:rsidR="004969CE" w:rsidRPr="00B127E1">
        <w:rPr>
          <w:rFonts w:asciiTheme="minorHAnsi" w:hAnsiTheme="minorHAnsi" w:cstheme="minorHAnsi"/>
          <w:sz w:val="22"/>
        </w:rPr>
        <w:t xml:space="preserve">Bailey-Serres, J., S. C. Lee, and E. Brinton, 2012: Waterproofing crops: effective flooding survival strategies. </w:t>
      </w:r>
      <w:r w:rsidR="004969CE" w:rsidRPr="00B127E1">
        <w:rPr>
          <w:rFonts w:asciiTheme="minorHAnsi" w:hAnsiTheme="minorHAnsi" w:cstheme="minorHAnsi"/>
          <w:i/>
          <w:sz w:val="22"/>
        </w:rPr>
        <w:t>Plant Physiol</w:t>
      </w:r>
      <w:r w:rsidR="004651A2">
        <w:rPr>
          <w:rFonts w:asciiTheme="minorHAnsi" w:hAnsiTheme="minorHAnsi" w:cstheme="minorHAnsi"/>
          <w:i/>
          <w:sz w:val="22"/>
        </w:rPr>
        <w:t>ogy</w:t>
      </w:r>
      <w:r w:rsidR="004969CE" w:rsidRPr="00B127E1">
        <w:rPr>
          <w:rFonts w:asciiTheme="minorHAnsi" w:hAnsiTheme="minorHAnsi" w:cstheme="minorHAnsi"/>
          <w:sz w:val="22"/>
        </w:rPr>
        <w:t xml:space="preserve">, </w:t>
      </w:r>
      <w:r w:rsidR="004969CE" w:rsidRPr="00B127E1">
        <w:rPr>
          <w:rFonts w:asciiTheme="minorHAnsi" w:hAnsiTheme="minorHAnsi" w:cstheme="minorHAnsi"/>
          <w:b/>
          <w:sz w:val="22"/>
        </w:rPr>
        <w:t>160,</w:t>
      </w:r>
      <w:r w:rsidR="004969CE" w:rsidRPr="00B127E1">
        <w:rPr>
          <w:rFonts w:asciiTheme="minorHAnsi" w:hAnsiTheme="minorHAnsi" w:cstheme="minorHAnsi"/>
          <w:sz w:val="22"/>
        </w:rPr>
        <w:t xml:space="preserve"> 1698-1709.</w:t>
      </w:r>
    </w:p>
    <w:p w14:paraId="3191E966" w14:textId="07513071" w:rsidR="004969CE" w:rsidRPr="00B127E1" w:rsidRDefault="004969CE" w:rsidP="00675CC3">
      <w:pPr>
        <w:pStyle w:val="EndNoteBibliography"/>
        <w:spacing w:before="240" w:after="240"/>
        <w:ind w:left="360"/>
        <w:jc w:val="both"/>
        <w:rPr>
          <w:rFonts w:asciiTheme="minorHAnsi" w:hAnsiTheme="minorHAnsi" w:cstheme="minorHAnsi"/>
          <w:sz w:val="22"/>
        </w:rPr>
      </w:pPr>
      <w:r w:rsidRPr="00B127E1">
        <w:rPr>
          <w:rFonts w:asciiTheme="minorHAnsi" w:hAnsiTheme="minorHAnsi" w:cstheme="minorHAnsi"/>
          <w:sz w:val="22"/>
        </w:rPr>
        <w:t>Hoffman, I. C</w:t>
      </w:r>
      <w:r w:rsidR="004651A2">
        <w:rPr>
          <w:rFonts w:asciiTheme="minorHAnsi" w:hAnsiTheme="minorHAnsi" w:cstheme="minorHAnsi"/>
          <w:sz w:val="22"/>
        </w:rPr>
        <w:t xml:space="preserve">, </w:t>
      </w:r>
      <w:r w:rsidRPr="00B127E1">
        <w:rPr>
          <w:rFonts w:asciiTheme="minorHAnsi" w:hAnsiTheme="minorHAnsi" w:cstheme="minorHAnsi"/>
          <w:sz w:val="22"/>
        </w:rPr>
        <w:t>1932</w:t>
      </w:r>
      <w:r w:rsidR="00477BAD">
        <w:rPr>
          <w:rFonts w:asciiTheme="minorHAnsi" w:hAnsiTheme="minorHAnsi" w:cstheme="minorHAnsi"/>
          <w:sz w:val="22"/>
        </w:rPr>
        <w:t>:</w:t>
      </w:r>
      <w:r w:rsidRPr="00B127E1">
        <w:rPr>
          <w:rFonts w:asciiTheme="minorHAnsi" w:hAnsiTheme="minorHAnsi" w:cstheme="minorHAnsi"/>
          <w:sz w:val="22"/>
        </w:rPr>
        <w:t xml:space="preserve"> </w:t>
      </w:r>
      <w:r w:rsidRPr="004651A2">
        <w:rPr>
          <w:rFonts w:asciiTheme="minorHAnsi" w:hAnsiTheme="minorHAnsi" w:cstheme="minorHAnsi"/>
          <w:i/>
          <w:iCs/>
          <w:sz w:val="22"/>
        </w:rPr>
        <w:t xml:space="preserve">Growing of </w:t>
      </w:r>
      <w:r w:rsidR="00477BAD">
        <w:rPr>
          <w:rFonts w:asciiTheme="minorHAnsi" w:hAnsiTheme="minorHAnsi" w:cstheme="minorHAnsi"/>
          <w:i/>
          <w:iCs/>
          <w:sz w:val="22"/>
        </w:rPr>
        <w:t>G</w:t>
      </w:r>
      <w:r w:rsidRPr="004651A2">
        <w:rPr>
          <w:rFonts w:asciiTheme="minorHAnsi" w:hAnsiTheme="minorHAnsi" w:cstheme="minorHAnsi"/>
          <w:i/>
          <w:iCs/>
          <w:sz w:val="22"/>
        </w:rPr>
        <w:t xml:space="preserve">reenhouse </w:t>
      </w:r>
      <w:r w:rsidR="00477BAD">
        <w:rPr>
          <w:rFonts w:asciiTheme="minorHAnsi" w:hAnsiTheme="minorHAnsi" w:cstheme="minorHAnsi"/>
          <w:i/>
          <w:iCs/>
          <w:sz w:val="22"/>
        </w:rPr>
        <w:t>T</w:t>
      </w:r>
      <w:r w:rsidRPr="004651A2">
        <w:rPr>
          <w:rFonts w:asciiTheme="minorHAnsi" w:hAnsiTheme="minorHAnsi" w:cstheme="minorHAnsi"/>
          <w:i/>
          <w:iCs/>
          <w:sz w:val="22"/>
        </w:rPr>
        <w:t>omatoes</w:t>
      </w:r>
      <w:r w:rsidRPr="00B127E1">
        <w:rPr>
          <w:rFonts w:asciiTheme="minorHAnsi" w:hAnsiTheme="minorHAnsi" w:cstheme="minorHAnsi"/>
          <w:sz w:val="22"/>
        </w:rPr>
        <w:t xml:space="preserve">. </w:t>
      </w:r>
      <w:r w:rsidR="00477BAD">
        <w:rPr>
          <w:rFonts w:asciiTheme="minorHAnsi" w:hAnsiTheme="minorHAnsi" w:cstheme="minorHAnsi"/>
          <w:sz w:val="22"/>
        </w:rPr>
        <w:t>Ohio Agricultural Experiment Station, 33pp.</w:t>
      </w:r>
    </w:p>
    <w:p w14:paraId="6A9A02EF" w14:textId="32062A4F" w:rsidR="004969CE" w:rsidRPr="00B127E1" w:rsidRDefault="004969CE" w:rsidP="00675CC3">
      <w:pPr>
        <w:pStyle w:val="EndNoteBibliography"/>
        <w:spacing w:before="240" w:after="240"/>
        <w:ind w:left="360"/>
        <w:jc w:val="both"/>
        <w:rPr>
          <w:rFonts w:asciiTheme="minorHAnsi" w:hAnsiTheme="minorHAnsi" w:cstheme="minorHAnsi"/>
          <w:sz w:val="22"/>
        </w:rPr>
      </w:pPr>
      <w:r w:rsidRPr="00B127E1">
        <w:rPr>
          <w:rFonts w:asciiTheme="minorHAnsi" w:hAnsiTheme="minorHAnsi" w:cstheme="minorHAnsi"/>
          <w:sz w:val="22"/>
        </w:rPr>
        <w:t xml:space="preserve">Ide, R., A. Ichiki, T. Suzuki, and Y. Jitsuyama, 2022: Analysis of yield reduction factors in processing tomatoes under waterlogging conditions. </w:t>
      </w:r>
      <w:r w:rsidRPr="00B127E1">
        <w:rPr>
          <w:rFonts w:asciiTheme="minorHAnsi" w:hAnsiTheme="minorHAnsi" w:cstheme="minorHAnsi"/>
          <w:i/>
          <w:sz w:val="22"/>
        </w:rPr>
        <w:t>Scientia Horticulturae</w:t>
      </w:r>
      <w:r w:rsidRPr="00B127E1">
        <w:rPr>
          <w:rFonts w:asciiTheme="minorHAnsi" w:hAnsiTheme="minorHAnsi" w:cstheme="minorHAnsi"/>
          <w:sz w:val="22"/>
        </w:rPr>
        <w:t xml:space="preserve">, </w:t>
      </w:r>
      <w:r w:rsidRPr="00B127E1">
        <w:rPr>
          <w:rFonts w:asciiTheme="minorHAnsi" w:hAnsiTheme="minorHAnsi" w:cstheme="minorHAnsi"/>
          <w:b/>
          <w:sz w:val="22"/>
        </w:rPr>
        <w:t>295,</w:t>
      </w:r>
      <w:r w:rsidRPr="00B127E1">
        <w:rPr>
          <w:rFonts w:asciiTheme="minorHAnsi" w:hAnsiTheme="minorHAnsi" w:cstheme="minorHAnsi"/>
          <w:sz w:val="22"/>
        </w:rPr>
        <w:t xml:space="preserve"> 110840.</w:t>
      </w:r>
    </w:p>
    <w:p w14:paraId="1D1BEC67" w14:textId="3B7CAFB5" w:rsidR="004969CE" w:rsidRPr="00B127E1" w:rsidRDefault="004969CE" w:rsidP="00675CC3">
      <w:pPr>
        <w:pStyle w:val="EndNoteBibliography"/>
        <w:spacing w:before="240" w:after="240"/>
        <w:ind w:left="360"/>
        <w:jc w:val="both"/>
        <w:rPr>
          <w:rFonts w:asciiTheme="minorHAnsi" w:hAnsiTheme="minorHAnsi" w:cstheme="minorHAnsi"/>
          <w:sz w:val="22"/>
        </w:rPr>
      </w:pPr>
      <w:r w:rsidRPr="00B127E1">
        <w:rPr>
          <w:rFonts w:asciiTheme="minorHAnsi" w:hAnsiTheme="minorHAnsi" w:cstheme="minorHAnsi"/>
          <w:sz w:val="22"/>
        </w:rPr>
        <w:t>Imakumbili, M. L., 2019:</w:t>
      </w:r>
      <w:r w:rsidRPr="004651A2">
        <w:rPr>
          <w:rFonts w:asciiTheme="minorHAnsi" w:hAnsiTheme="minorHAnsi" w:cstheme="minorHAnsi"/>
          <w:i/>
          <w:iCs/>
          <w:sz w:val="22"/>
        </w:rPr>
        <w:t xml:space="preserve"> </w:t>
      </w:r>
      <w:r w:rsidRPr="00477BAD">
        <w:rPr>
          <w:rFonts w:asciiTheme="minorHAnsi" w:hAnsiTheme="minorHAnsi" w:cstheme="minorHAnsi"/>
          <w:sz w:val="22"/>
        </w:rPr>
        <w:t>Making water stress treatments in pot experiments: An illustrated step-by-step guide</w:t>
      </w:r>
      <w:r w:rsidRPr="004651A2">
        <w:rPr>
          <w:rFonts w:asciiTheme="minorHAnsi" w:hAnsiTheme="minorHAnsi" w:cstheme="minorHAnsi"/>
          <w:i/>
          <w:iCs/>
          <w:sz w:val="22"/>
        </w:rPr>
        <w:t>.</w:t>
      </w:r>
      <w:r w:rsidR="00477BAD">
        <w:rPr>
          <w:rFonts w:asciiTheme="minorHAnsi" w:hAnsiTheme="minorHAnsi" w:cstheme="minorHAnsi"/>
          <w:i/>
          <w:iCs/>
          <w:sz w:val="22"/>
        </w:rPr>
        <w:t>P</w:t>
      </w:r>
      <w:r w:rsidR="00477BAD" w:rsidRPr="00477BAD">
        <w:rPr>
          <w:rFonts w:asciiTheme="minorHAnsi" w:hAnsiTheme="minorHAnsi" w:cstheme="minorHAnsi"/>
          <w:i/>
          <w:iCs/>
          <w:sz w:val="22"/>
        </w:rPr>
        <w:t>rotocols.io https://dx.doi.org/10.17504/protocols.io.2xdgfi6</w:t>
      </w:r>
    </w:p>
    <w:p w14:paraId="06BB7CAA" w14:textId="77777777" w:rsidR="004969CE" w:rsidRPr="00B127E1" w:rsidRDefault="004969CE" w:rsidP="00675CC3">
      <w:pPr>
        <w:pStyle w:val="EndNoteBibliography"/>
        <w:spacing w:before="240" w:after="240"/>
        <w:ind w:left="360"/>
        <w:jc w:val="both"/>
        <w:rPr>
          <w:rFonts w:asciiTheme="minorHAnsi" w:hAnsiTheme="minorHAnsi" w:cstheme="minorHAnsi"/>
          <w:sz w:val="22"/>
        </w:rPr>
      </w:pPr>
      <w:r w:rsidRPr="00B127E1">
        <w:rPr>
          <w:rFonts w:asciiTheme="minorHAnsi" w:hAnsiTheme="minorHAnsi" w:cstheme="minorHAnsi"/>
          <w:sz w:val="22"/>
        </w:rPr>
        <w:t xml:space="preserve">Jitsuyama, Y., A. Ichiki, R. Ide, H. Shimura, and T. Suzuki, 2019: The processing tomato cultivar ‘Natsunoshun’is susceptible to an excess or lack of soil moisture after the flowering stage. </w:t>
      </w:r>
      <w:r w:rsidRPr="00B127E1">
        <w:rPr>
          <w:rFonts w:asciiTheme="minorHAnsi" w:hAnsiTheme="minorHAnsi" w:cstheme="minorHAnsi"/>
          <w:i/>
          <w:sz w:val="22"/>
        </w:rPr>
        <w:t>The Horticulture Journal</w:t>
      </w:r>
      <w:r w:rsidRPr="00B127E1">
        <w:rPr>
          <w:rFonts w:asciiTheme="minorHAnsi" w:hAnsiTheme="minorHAnsi" w:cstheme="minorHAnsi"/>
          <w:sz w:val="22"/>
        </w:rPr>
        <w:t xml:space="preserve">, </w:t>
      </w:r>
      <w:r w:rsidRPr="00B127E1">
        <w:rPr>
          <w:rFonts w:asciiTheme="minorHAnsi" w:hAnsiTheme="minorHAnsi" w:cstheme="minorHAnsi"/>
          <w:b/>
          <w:sz w:val="22"/>
        </w:rPr>
        <w:t>88,</w:t>
      </w:r>
      <w:r w:rsidRPr="00B127E1">
        <w:rPr>
          <w:rFonts w:asciiTheme="minorHAnsi" w:hAnsiTheme="minorHAnsi" w:cstheme="minorHAnsi"/>
          <w:sz w:val="22"/>
        </w:rPr>
        <w:t xml:space="preserve"> 232-244.</w:t>
      </w:r>
    </w:p>
    <w:p w14:paraId="3BECDCC7" w14:textId="7C1D8593" w:rsidR="004969CE" w:rsidRPr="00B127E1" w:rsidRDefault="004969CE" w:rsidP="00675CC3">
      <w:pPr>
        <w:pStyle w:val="EndNoteBibliography"/>
        <w:spacing w:before="240" w:after="240"/>
        <w:ind w:left="360"/>
        <w:jc w:val="both"/>
        <w:rPr>
          <w:rFonts w:asciiTheme="minorHAnsi" w:hAnsiTheme="minorHAnsi" w:cstheme="minorHAnsi"/>
          <w:sz w:val="22"/>
        </w:rPr>
      </w:pPr>
      <w:r w:rsidRPr="00B127E1">
        <w:rPr>
          <w:rFonts w:asciiTheme="minorHAnsi" w:hAnsiTheme="minorHAnsi" w:cstheme="minorHAnsi"/>
          <w:sz w:val="22"/>
        </w:rPr>
        <w:t xml:space="preserve">Jones, J. B., 2013: </w:t>
      </w:r>
      <w:r w:rsidRPr="00B127E1">
        <w:rPr>
          <w:rFonts w:asciiTheme="minorHAnsi" w:hAnsiTheme="minorHAnsi" w:cstheme="minorHAnsi"/>
          <w:i/>
          <w:sz w:val="22"/>
        </w:rPr>
        <w:t xml:space="preserve">Instructional </w:t>
      </w:r>
      <w:r w:rsidR="004651A2">
        <w:rPr>
          <w:rFonts w:asciiTheme="minorHAnsi" w:hAnsiTheme="minorHAnsi" w:cstheme="minorHAnsi"/>
          <w:i/>
          <w:sz w:val="22"/>
        </w:rPr>
        <w:t>g</w:t>
      </w:r>
      <w:r w:rsidRPr="00B127E1">
        <w:rPr>
          <w:rFonts w:asciiTheme="minorHAnsi" w:hAnsiTheme="minorHAnsi" w:cstheme="minorHAnsi"/>
          <w:i/>
          <w:sz w:val="22"/>
        </w:rPr>
        <w:t xml:space="preserve">uide for </w:t>
      </w:r>
      <w:r w:rsidR="004651A2">
        <w:rPr>
          <w:rFonts w:asciiTheme="minorHAnsi" w:hAnsiTheme="minorHAnsi" w:cstheme="minorHAnsi"/>
          <w:i/>
          <w:sz w:val="22"/>
        </w:rPr>
        <w:t>g</w:t>
      </w:r>
      <w:r w:rsidRPr="00B127E1">
        <w:rPr>
          <w:rFonts w:asciiTheme="minorHAnsi" w:hAnsiTheme="minorHAnsi" w:cstheme="minorHAnsi"/>
          <w:i/>
          <w:sz w:val="22"/>
        </w:rPr>
        <w:t xml:space="preserve">rowing </w:t>
      </w:r>
      <w:r w:rsidR="004651A2">
        <w:rPr>
          <w:rFonts w:asciiTheme="minorHAnsi" w:hAnsiTheme="minorHAnsi" w:cstheme="minorHAnsi"/>
          <w:i/>
          <w:sz w:val="22"/>
        </w:rPr>
        <w:t>t</w:t>
      </w:r>
      <w:r w:rsidRPr="00B127E1">
        <w:rPr>
          <w:rFonts w:asciiTheme="minorHAnsi" w:hAnsiTheme="minorHAnsi" w:cstheme="minorHAnsi"/>
          <w:i/>
          <w:sz w:val="22"/>
        </w:rPr>
        <w:t xml:space="preserve">omatoes in the </w:t>
      </w:r>
      <w:r w:rsidR="004651A2">
        <w:rPr>
          <w:rFonts w:asciiTheme="minorHAnsi" w:hAnsiTheme="minorHAnsi" w:cstheme="minorHAnsi"/>
          <w:i/>
          <w:sz w:val="22"/>
        </w:rPr>
        <w:t>h</w:t>
      </w:r>
      <w:r w:rsidRPr="00B127E1">
        <w:rPr>
          <w:rFonts w:asciiTheme="minorHAnsi" w:hAnsiTheme="minorHAnsi" w:cstheme="minorHAnsi"/>
          <w:i/>
          <w:sz w:val="22"/>
        </w:rPr>
        <w:t xml:space="preserve">ome </w:t>
      </w:r>
      <w:r w:rsidR="004651A2">
        <w:rPr>
          <w:rFonts w:asciiTheme="minorHAnsi" w:hAnsiTheme="minorHAnsi" w:cstheme="minorHAnsi"/>
          <w:i/>
          <w:sz w:val="22"/>
        </w:rPr>
        <w:t>g</w:t>
      </w:r>
      <w:r w:rsidRPr="00B127E1">
        <w:rPr>
          <w:rFonts w:asciiTheme="minorHAnsi" w:hAnsiTheme="minorHAnsi" w:cstheme="minorHAnsi"/>
          <w:i/>
          <w:sz w:val="22"/>
        </w:rPr>
        <w:t xml:space="preserve">arden and </w:t>
      </w:r>
      <w:r w:rsidR="004651A2">
        <w:rPr>
          <w:rFonts w:asciiTheme="minorHAnsi" w:hAnsiTheme="minorHAnsi" w:cstheme="minorHAnsi"/>
          <w:i/>
          <w:sz w:val="22"/>
        </w:rPr>
        <w:t>g</w:t>
      </w:r>
      <w:r w:rsidRPr="00B127E1">
        <w:rPr>
          <w:rFonts w:asciiTheme="minorHAnsi" w:hAnsiTheme="minorHAnsi" w:cstheme="minorHAnsi"/>
          <w:i/>
          <w:sz w:val="22"/>
        </w:rPr>
        <w:t>reenhouse.</w:t>
      </w:r>
      <w:r w:rsidRPr="00B127E1">
        <w:rPr>
          <w:rFonts w:asciiTheme="minorHAnsi" w:hAnsiTheme="minorHAnsi" w:cstheme="minorHAnsi"/>
          <w:sz w:val="22"/>
        </w:rPr>
        <w:t xml:space="preserve">  GroSystems, Incorporated.</w:t>
      </w:r>
    </w:p>
    <w:p w14:paraId="55FAA64A" w14:textId="0DF74517" w:rsidR="004969CE" w:rsidRPr="00B127E1" w:rsidRDefault="004969CE" w:rsidP="00675CC3">
      <w:pPr>
        <w:pStyle w:val="EndNoteBibliography"/>
        <w:spacing w:before="240" w:after="240"/>
        <w:ind w:left="360"/>
        <w:jc w:val="both"/>
        <w:rPr>
          <w:rFonts w:asciiTheme="minorHAnsi" w:hAnsiTheme="minorHAnsi" w:cstheme="minorHAnsi"/>
          <w:sz w:val="22"/>
        </w:rPr>
      </w:pPr>
      <w:r w:rsidRPr="00B127E1">
        <w:rPr>
          <w:rFonts w:asciiTheme="minorHAnsi" w:hAnsiTheme="minorHAnsi" w:cstheme="minorHAnsi"/>
          <w:sz w:val="22"/>
        </w:rPr>
        <w:t>Pineda, I. T., Lee, Y. D., Kim, Y. S., Lee, S. M., &amp; Park, K. S</w:t>
      </w:r>
      <w:r w:rsidR="004651A2">
        <w:rPr>
          <w:rFonts w:asciiTheme="minorHAnsi" w:hAnsiTheme="minorHAnsi" w:cstheme="minorHAnsi"/>
          <w:sz w:val="22"/>
        </w:rPr>
        <w:t xml:space="preserve">, </w:t>
      </w:r>
      <w:r w:rsidRPr="00B127E1">
        <w:rPr>
          <w:rFonts w:asciiTheme="minorHAnsi" w:hAnsiTheme="minorHAnsi" w:cstheme="minorHAnsi"/>
          <w:sz w:val="22"/>
        </w:rPr>
        <w:t xml:space="preserve">2021. Review of inventory data in life cycle assessment applied in production of fresh tomato in greenhouse. </w:t>
      </w:r>
      <w:r w:rsidRPr="004651A2">
        <w:rPr>
          <w:rFonts w:asciiTheme="minorHAnsi" w:hAnsiTheme="minorHAnsi" w:cstheme="minorHAnsi"/>
          <w:i/>
          <w:iCs/>
          <w:sz w:val="22"/>
        </w:rPr>
        <w:t>Journal of Cleaner Production</w:t>
      </w:r>
      <w:r w:rsidRPr="00B127E1">
        <w:rPr>
          <w:rFonts w:asciiTheme="minorHAnsi" w:hAnsiTheme="minorHAnsi" w:cstheme="minorHAnsi"/>
          <w:sz w:val="22"/>
        </w:rPr>
        <w:t>, 282, 124395.</w:t>
      </w:r>
    </w:p>
    <w:p w14:paraId="5F879620" w14:textId="52FC51E6" w:rsidR="004969CE" w:rsidRPr="00B127E1" w:rsidRDefault="004969CE" w:rsidP="00675CC3">
      <w:pPr>
        <w:pStyle w:val="EndNoteBibliography"/>
        <w:spacing w:before="240" w:after="240"/>
        <w:ind w:left="360"/>
        <w:jc w:val="both"/>
        <w:rPr>
          <w:rFonts w:asciiTheme="minorHAnsi" w:hAnsiTheme="minorHAnsi" w:cstheme="minorHAnsi"/>
          <w:sz w:val="22"/>
        </w:rPr>
      </w:pPr>
      <w:r w:rsidRPr="00B127E1">
        <w:rPr>
          <w:rFonts w:asciiTheme="minorHAnsi" w:hAnsiTheme="minorHAnsi" w:cstheme="minorHAnsi"/>
          <w:sz w:val="22"/>
        </w:rPr>
        <w:t xml:space="preserve">Rabuku, A. T. W., and V. Cagivinaka, 2023: Farmers </w:t>
      </w:r>
      <w:r w:rsidR="004651A2">
        <w:rPr>
          <w:rFonts w:asciiTheme="minorHAnsi" w:hAnsiTheme="minorHAnsi" w:cstheme="minorHAnsi"/>
          <w:sz w:val="22"/>
        </w:rPr>
        <w:t>r</w:t>
      </w:r>
      <w:r w:rsidRPr="00B127E1">
        <w:rPr>
          <w:rFonts w:asciiTheme="minorHAnsi" w:hAnsiTheme="minorHAnsi" w:cstheme="minorHAnsi"/>
          <w:sz w:val="22"/>
        </w:rPr>
        <w:t xml:space="preserve">esilience and </w:t>
      </w:r>
      <w:r w:rsidR="004651A2">
        <w:rPr>
          <w:rFonts w:asciiTheme="minorHAnsi" w:hAnsiTheme="minorHAnsi" w:cstheme="minorHAnsi"/>
          <w:sz w:val="22"/>
        </w:rPr>
        <w:t>a</w:t>
      </w:r>
      <w:r w:rsidRPr="00B127E1">
        <w:rPr>
          <w:rFonts w:asciiTheme="minorHAnsi" w:hAnsiTheme="minorHAnsi" w:cstheme="minorHAnsi"/>
          <w:sz w:val="22"/>
        </w:rPr>
        <w:t>daptation to</w:t>
      </w:r>
      <w:r w:rsidR="004651A2">
        <w:rPr>
          <w:rFonts w:asciiTheme="minorHAnsi" w:hAnsiTheme="minorHAnsi" w:cstheme="minorHAnsi"/>
          <w:sz w:val="22"/>
        </w:rPr>
        <w:t xml:space="preserve"> c</w:t>
      </w:r>
      <w:r w:rsidRPr="00B127E1">
        <w:rPr>
          <w:rFonts w:asciiTheme="minorHAnsi" w:hAnsiTheme="minorHAnsi" w:cstheme="minorHAnsi"/>
          <w:sz w:val="22"/>
        </w:rPr>
        <w:t xml:space="preserve">limate </w:t>
      </w:r>
      <w:r w:rsidR="004651A2">
        <w:rPr>
          <w:rFonts w:asciiTheme="minorHAnsi" w:hAnsiTheme="minorHAnsi" w:cstheme="minorHAnsi"/>
          <w:sz w:val="22"/>
        </w:rPr>
        <w:t>c</w:t>
      </w:r>
      <w:r w:rsidRPr="00B127E1">
        <w:rPr>
          <w:rFonts w:asciiTheme="minorHAnsi" w:hAnsiTheme="minorHAnsi" w:cstheme="minorHAnsi"/>
          <w:sz w:val="22"/>
        </w:rPr>
        <w:t xml:space="preserve">hange and </w:t>
      </w:r>
      <w:r w:rsidR="004651A2">
        <w:rPr>
          <w:rFonts w:asciiTheme="minorHAnsi" w:hAnsiTheme="minorHAnsi" w:cstheme="minorHAnsi"/>
          <w:sz w:val="22"/>
        </w:rPr>
        <w:t>f</w:t>
      </w:r>
      <w:r w:rsidRPr="00B127E1">
        <w:rPr>
          <w:rFonts w:asciiTheme="minorHAnsi" w:hAnsiTheme="minorHAnsi" w:cstheme="minorHAnsi"/>
          <w:sz w:val="22"/>
        </w:rPr>
        <w:t>looding–</w:t>
      </w:r>
      <w:r w:rsidR="004651A2">
        <w:rPr>
          <w:rFonts w:asciiTheme="minorHAnsi" w:hAnsiTheme="minorHAnsi" w:cstheme="minorHAnsi"/>
          <w:sz w:val="22"/>
        </w:rPr>
        <w:t>a</w:t>
      </w:r>
      <w:r w:rsidRPr="00B127E1">
        <w:rPr>
          <w:rFonts w:asciiTheme="minorHAnsi" w:hAnsiTheme="minorHAnsi" w:cstheme="minorHAnsi"/>
          <w:sz w:val="22"/>
        </w:rPr>
        <w:t xml:space="preserve"> </w:t>
      </w:r>
      <w:r w:rsidR="004651A2">
        <w:rPr>
          <w:rFonts w:asciiTheme="minorHAnsi" w:hAnsiTheme="minorHAnsi" w:cstheme="minorHAnsi"/>
          <w:sz w:val="22"/>
        </w:rPr>
        <w:t>c</w:t>
      </w:r>
      <w:r w:rsidRPr="00B127E1">
        <w:rPr>
          <w:rFonts w:asciiTheme="minorHAnsi" w:hAnsiTheme="minorHAnsi" w:cstheme="minorHAnsi"/>
          <w:sz w:val="22"/>
        </w:rPr>
        <w:t xml:space="preserve">ase </w:t>
      </w:r>
      <w:r w:rsidR="004651A2">
        <w:rPr>
          <w:rFonts w:asciiTheme="minorHAnsi" w:hAnsiTheme="minorHAnsi" w:cstheme="minorHAnsi"/>
          <w:sz w:val="22"/>
        </w:rPr>
        <w:t>s</w:t>
      </w:r>
      <w:r w:rsidRPr="00B127E1">
        <w:rPr>
          <w:rFonts w:asciiTheme="minorHAnsi" w:hAnsiTheme="minorHAnsi" w:cstheme="minorHAnsi"/>
          <w:sz w:val="22"/>
        </w:rPr>
        <w:t xml:space="preserve">tudy of a </w:t>
      </w:r>
      <w:r w:rsidR="004651A2">
        <w:rPr>
          <w:rFonts w:asciiTheme="minorHAnsi" w:hAnsiTheme="minorHAnsi" w:cstheme="minorHAnsi"/>
          <w:sz w:val="22"/>
        </w:rPr>
        <w:t>s</w:t>
      </w:r>
      <w:r w:rsidRPr="00B127E1">
        <w:rPr>
          <w:rFonts w:asciiTheme="minorHAnsi" w:hAnsiTheme="minorHAnsi" w:cstheme="minorHAnsi"/>
          <w:sz w:val="22"/>
        </w:rPr>
        <w:t>emi-</w:t>
      </w:r>
      <w:r w:rsidR="004651A2">
        <w:rPr>
          <w:rFonts w:asciiTheme="minorHAnsi" w:hAnsiTheme="minorHAnsi" w:cstheme="minorHAnsi"/>
          <w:sz w:val="22"/>
        </w:rPr>
        <w:t>r</w:t>
      </w:r>
      <w:r w:rsidRPr="00B127E1">
        <w:rPr>
          <w:rFonts w:asciiTheme="minorHAnsi" w:hAnsiTheme="minorHAnsi" w:cstheme="minorHAnsi"/>
          <w:sz w:val="22"/>
        </w:rPr>
        <w:t xml:space="preserve">ural </w:t>
      </w:r>
      <w:r w:rsidR="004651A2">
        <w:rPr>
          <w:rFonts w:asciiTheme="minorHAnsi" w:hAnsiTheme="minorHAnsi" w:cstheme="minorHAnsi"/>
          <w:sz w:val="22"/>
        </w:rPr>
        <w:t>s</w:t>
      </w:r>
      <w:r w:rsidRPr="00B127E1">
        <w:rPr>
          <w:rFonts w:asciiTheme="minorHAnsi" w:hAnsiTheme="minorHAnsi" w:cstheme="minorHAnsi"/>
          <w:sz w:val="22"/>
        </w:rPr>
        <w:t xml:space="preserve">ettlement in Fiji. </w:t>
      </w:r>
      <w:r w:rsidRPr="00B127E1">
        <w:rPr>
          <w:rFonts w:asciiTheme="minorHAnsi" w:hAnsiTheme="minorHAnsi" w:cstheme="minorHAnsi"/>
          <w:i/>
          <w:sz w:val="22"/>
        </w:rPr>
        <w:t>Journal of Namibian Studies: History Politics Culture</w:t>
      </w:r>
      <w:r w:rsidRPr="00B127E1">
        <w:rPr>
          <w:rFonts w:asciiTheme="minorHAnsi" w:hAnsiTheme="minorHAnsi" w:cstheme="minorHAnsi"/>
          <w:sz w:val="22"/>
        </w:rPr>
        <w:t xml:space="preserve">, </w:t>
      </w:r>
      <w:r w:rsidRPr="00B127E1">
        <w:rPr>
          <w:rFonts w:asciiTheme="minorHAnsi" w:hAnsiTheme="minorHAnsi" w:cstheme="minorHAnsi"/>
          <w:b/>
          <w:sz w:val="22"/>
        </w:rPr>
        <w:t>34,</w:t>
      </w:r>
      <w:r w:rsidRPr="00B127E1">
        <w:rPr>
          <w:rFonts w:asciiTheme="minorHAnsi" w:hAnsiTheme="minorHAnsi" w:cstheme="minorHAnsi"/>
          <w:sz w:val="22"/>
        </w:rPr>
        <w:t xml:space="preserve"> 2111-2127.</w:t>
      </w:r>
    </w:p>
    <w:p w14:paraId="01D14920" w14:textId="146B7535" w:rsidR="004969CE" w:rsidRPr="00B127E1" w:rsidRDefault="004969CE" w:rsidP="00675CC3">
      <w:pPr>
        <w:pStyle w:val="EndNoteBibliography"/>
        <w:spacing w:before="240" w:after="240"/>
        <w:ind w:left="360"/>
        <w:jc w:val="both"/>
        <w:rPr>
          <w:rFonts w:asciiTheme="minorHAnsi" w:hAnsiTheme="minorHAnsi" w:cstheme="minorHAnsi"/>
          <w:sz w:val="22"/>
        </w:rPr>
      </w:pPr>
      <w:r w:rsidRPr="00B127E1">
        <w:rPr>
          <w:rFonts w:asciiTheme="minorHAnsi" w:hAnsiTheme="minorHAnsi" w:cstheme="minorHAnsi"/>
          <w:sz w:val="22"/>
        </w:rPr>
        <w:t>SPC</w:t>
      </w:r>
      <w:r w:rsidR="004651A2">
        <w:rPr>
          <w:rFonts w:asciiTheme="minorHAnsi" w:hAnsiTheme="minorHAnsi" w:cstheme="minorHAnsi"/>
          <w:sz w:val="22"/>
        </w:rPr>
        <w:t>.,</w:t>
      </w:r>
      <w:r w:rsidRPr="00B127E1">
        <w:rPr>
          <w:rFonts w:asciiTheme="minorHAnsi" w:hAnsiTheme="minorHAnsi" w:cstheme="minorHAnsi"/>
          <w:sz w:val="22"/>
        </w:rPr>
        <w:t xml:space="preserve"> 2018</w:t>
      </w:r>
      <w:r w:rsidR="004651A2">
        <w:rPr>
          <w:rFonts w:asciiTheme="minorHAnsi" w:hAnsiTheme="minorHAnsi" w:cstheme="minorHAnsi"/>
          <w:sz w:val="22"/>
        </w:rPr>
        <w:t>:</w:t>
      </w:r>
      <w:r w:rsidRPr="00B127E1">
        <w:rPr>
          <w:rFonts w:asciiTheme="minorHAnsi" w:hAnsiTheme="minorHAnsi" w:cstheme="minorHAnsi"/>
          <w:sz w:val="22"/>
        </w:rPr>
        <w:t xml:space="preserve"> </w:t>
      </w:r>
      <w:r w:rsidRPr="00B127E1">
        <w:rPr>
          <w:rFonts w:asciiTheme="minorHAnsi" w:hAnsiTheme="minorHAnsi" w:cstheme="minorHAnsi"/>
          <w:i/>
          <w:iCs/>
          <w:sz w:val="22"/>
        </w:rPr>
        <w:t>Melrose Tomato Seed Production Guide:</w:t>
      </w:r>
      <w:r w:rsidRPr="00B127E1">
        <w:rPr>
          <w:rFonts w:asciiTheme="minorHAnsi" w:hAnsiTheme="minorHAnsi" w:cstheme="minorHAnsi"/>
          <w:sz w:val="22"/>
        </w:rPr>
        <w:t xml:space="preserve"> Standard Operating Procedure </w:t>
      </w:r>
    </w:p>
    <w:p w14:paraId="14519668" w14:textId="1B1EA5F4" w:rsidR="004969CE" w:rsidRPr="00B127E1" w:rsidRDefault="004969CE" w:rsidP="00675CC3">
      <w:pPr>
        <w:pStyle w:val="EndNoteBibliography"/>
        <w:spacing w:before="240" w:after="240"/>
        <w:ind w:left="360"/>
        <w:jc w:val="both"/>
        <w:rPr>
          <w:rFonts w:asciiTheme="minorHAnsi" w:hAnsiTheme="minorHAnsi" w:cstheme="minorHAnsi"/>
          <w:sz w:val="22"/>
        </w:rPr>
      </w:pPr>
      <w:r w:rsidRPr="00B127E1">
        <w:rPr>
          <w:rFonts w:asciiTheme="minorHAnsi" w:hAnsiTheme="minorHAnsi" w:cstheme="minorHAnsi"/>
          <w:sz w:val="22"/>
        </w:rPr>
        <w:t xml:space="preserve">Suwanaruang, T., 2016: Analyzing lycopene content in fruits. </w:t>
      </w:r>
      <w:r w:rsidRPr="00B127E1">
        <w:rPr>
          <w:rFonts w:asciiTheme="minorHAnsi" w:hAnsiTheme="minorHAnsi" w:cstheme="minorHAnsi"/>
          <w:i/>
          <w:sz w:val="22"/>
        </w:rPr>
        <w:t>Agriculture and Agricultural Science Procedia</w:t>
      </w:r>
      <w:r w:rsidRPr="00B127E1">
        <w:rPr>
          <w:rFonts w:asciiTheme="minorHAnsi" w:hAnsiTheme="minorHAnsi" w:cstheme="minorHAnsi"/>
          <w:sz w:val="22"/>
        </w:rPr>
        <w:t xml:space="preserve">, </w:t>
      </w:r>
      <w:r w:rsidRPr="00B127E1">
        <w:rPr>
          <w:rFonts w:asciiTheme="minorHAnsi" w:hAnsiTheme="minorHAnsi" w:cstheme="minorHAnsi"/>
          <w:b/>
          <w:sz w:val="22"/>
        </w:rPr>
        <w:t>11,</w:t>
      </w:r>
      <w:r w:rsidRPr="00B127E1">
        <w:rPr>
          <w:rFonts w:asciiTheme="minorHAnsi" w:hAnsiTheme="minorHAnsi" w:cstheme="minorHAnsi"/>
          <w:sz w:val="22"/>
        </w:rPr>
        <w:t xml:space="preserve"> 46-48.</w:t>
      </w:r>
    </w:p>
    <w:p w14:paraId="41C74B1F" w14:textId="0C41DAE8" w:rsidR="004969CE" w:rsidRPr="00B127E1" w:rsidRDefault="004969CE" w:rsidP="00675CC3">
      <w:pPr>
        <w:pStyle w:val="EndNoteBibliography"/>
        <w:spacing w:before="240" w:after="240"/>
        <w:ind w:left="360"/>
        <w:jc w:val="both"/>
        <w:rPr>
          <w:rFonts w:asciiTheme="minorHAnsi" w:hAnsiTheme="minorHAnsi" w:cstheme="minorHAnsi"/>
          <w:sz w:val="22"/>
        </w:rPr>
      </w:pPr>
      <w:r w:rsidRPr="00B127E1">
        <w:rPr>
          <w:rFonts w:asciiTheme="minorHAnsi" w:hAnsiTheme="minorHAnsi" w:cstheme="minorHAnsi"/>
          <w:sz w:val="22"/>
        </w:rPr>
        <w:t xml:space="preserve">Zhou, R., and Coauthors, 2022: Dominant and </w:t>
      </w:r>
      <w:r w:rsidR="004651A2">
        <w:rPr>
          <w:rFonts w:asciiTheme="minorHAnsi" w:hAnsiTheme="minorHAnsi" w:cstheme="minorHAnsi"/>
          <w:sz w:val="22"/>
        </w:rPr>
        <w:t>p</w:t>
      </w:r>
      <w:r w:rsidRPr="00B127E1">
        <w:rPr>
          <w:rFonts w:asciiTheme="minorHAnsi" w:hAnsiTheme="minorHAnsi" w:cstheme="minorHAnsi"/>
          <w:sz w:val="22"/>
        </w:rPr>
        <w:t xml:space="preserve">riming </w:t>
      </w:r>
      <w:r w:rsidR="004651A2">
        <w:rPr>
          <w:rFonts w:asciiTheme="minorHAnsi" w:hAnsiTheme="minorHAnsi" w:cstheme="minorHAnsi"/>
          <w:sz w:val="22"/>
        </w:rPr>
        <w:t>r</w:t>
      </w:r>
      <w:r w:rsidRPr="00B127E1">
        <w:rPr>
          <w:rFonts w:asciiTheme="minorHAnsi" w:hAnsiTheme="minorHAnsi" w:cstheme="minorHAnsi"/>
          <w:sz w:val="22"/>
        </w:rPr>
        <w:t xml:space="preserve">ole of </w:t>
      </w:r>
      <w:r w:rsidR="004651A2">
        <w:rPr>
          <w:rFonts w:asciiTheme="minorHAnsi" w:hAnsiTheme="minorHAnsi" w:cstheme="minorHAnsi"/>
          <w:sz w:val="22"/>
        </w:rPr>
        <w:t>w</w:t>
      </w:r>
      <w:r w:rsidRPr="00B127E1">
        <w:rPr>
          <w:rFonts w:asciiTheme="minorHAnsi" w:hAnsiTheme="minorHAnsi" w:cstheme="minorHAnsi"/>
          <w:sz w:val="22"/>
        </w:rPr>
        <w:t xml:space="preserve">aterlogging in </w:t>
      </w:r>
      <w:r w:rsidR="004651A2">
        <w:rPr>
          <w:rFonts w:asciiTheme="minorHAnsi" w:hAnsiTheme="minorHAnsi" w:cstheme="minorHAnsi"/>
          <w:sz w:val="22"/>
        </w:rPr>
        <w:t>t</w:t>
      </w:r>
      <w:r w:rsidRPr="00B127E1">
        <w:rPr>
          <w:rFonts w:asciiTheme="minorHAnsi" w:hAnsiTheme="minorHAnsi" w:cstheme="minorHAnsi"/>
          <w:sz w:val="22"/>
        </w:rPr>
        <w:t xml:space="preserve">omato at E[CO2] by </w:t>
      </w:r>
      <w:r w:rsidR="004651A2">
        <w:rPr>
          <w:rFonts w:asciiTheme="minorHAnsi" w:hAnsiTheme="minorHAnsi" w:cstheme="minorHAnsi"/>
          <w:sz w:val="22"/>
        </w:rPr>
        <w:t>m</w:t>
      </w:r>
      <w:r w:rsidRPr="00B127E1">
        <w:rPr>
          <w:rFonts w:asciiTheme="minorHAnsi" w:hAnsiTheme="minorHAnsi" w:cstheme="minorHAnsi"/>
          <w:sz w:val="22"/>
        </w:rPr>
        <w:t xml:space="preserve">ultivariate </w:t>
      </w:r>
      <w:r w:rsidR="004651A2">
        <w:rPr>
          <w:rFonts w:asciiTheme="minorHAnsi" w:hAnsiTheme="minorHAnsi" w:cstheme="minorHAnsi"/>
          <w:sz w:val="22"/>
        </w:rPr>
        <w:t>a</w:t>
      </w:r>
      <w:r w:rsidRPr="00B127E1">
        <w:rPr>
          <w:rFonts w:asciiTheme="minorHAnsi" w:hAnsiTheme="minorHAnsi" w:cstheme="minorHAnsi"/>
          <w:sz w:val="22"/>
        </w:rPr>
        <w:t xml:space="preserve">nalysis. </w:t>
      </w:r>
      <w:r w:rsidRPr="00B127E1">
        <w:rPr>
          <w:rFonts w:asciiTheme="minorHAnsi" w:hAnsiTheme="minorHAnsi" w:cstheme="minorHAnsi"/>
          <w:i/>
          <w:sz w:val="22"/>
        </w:rPr>
        <w:t>International Journal of Molecular Sciences</w:t>
      </w:r>
      <w:r w:rsidRPr="00B127E1">
        <w:rPr>
          <w:rFonts w:asciiTheme="minorHAnsi" w:hAnsiTheme="minorHAnsi" w:cstheme="minorHAnsi"/>
          <w:sz w:val="22"/>
        </w:rPr>
        <w:t xml:space="preserve">, </w:t>
      </w:r>
      <w:r w:rsidRPr="00B127E1">
        <w:rPr>
          <w:rFonts w:asciiTheme="minorHAnsi" w:hAnsiTheme="minorHAnsi" w:cstheme="minorHAnsi"/>
          <w:b/>
          <w:sz w:val="22"/>
        </w:rPr>
        <w:t>23,</w:t>
      </w:r>
      <w:r w:rsidRPr="00B127E1">
        <w:rPr>
          <w:rFonts w:asciiTheme="minorHAnsi" w:hAnsiTheme="minorHAnsi" w:cstheme="minorHAnsi"/>
          <w:sz w:val="22"/>
        </w:rPr>
        <w:t xml:space="preserve"> 12121.</w:t>
      </w:r>
    </w:p>
    <w:p w14:paraId="4C993406" w14:textId="50E4E997" w:rsidR="002179BC" w:rsidRPr="008C464F" w:rsidRDefault="0062706F" w:rsidP="00675CC3">
      <w:pPr>
        <w:pStyle w:val="EndNoteBibliography"/>
        <w:spacing w:before="240" w:after="240"/>
        <w:jc w:val="both"/>
        <w:rPr>
          <w:rFonts w:asciiTheme="minorHAnsi" w:hAnsiTheme="minorHAnsi" w:cstheme="minorHAnsi"/>
        </w:rPr>
      </w:pPr>
      <w:r w:rsidRPr="00B127E1">
        <w:rPr>
          <w:rFonts w:asciiTheme="minorHAnsi" w:hAnsiTheme="minorHAnsi" w:cstheme="minorHAnsi"/>
          <w:sz w:val="22"/>
        </w:rPr>
        <w:fldChar w:fldCharType="end"/>
      </w:r>
    </w:p>
    <w:sectPr w:rsidR="002179BC" w:rsidRPr="008C464F" w:rsidSect="002179BC">
      <w:pgSz w:w="11907" w:h="16840"/>
      <w:pgMar w:top="851" w:right="851" w:bottom="1021" w:left="8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D7C2C" w14:textId="77777777" w:rsidR="00B71EF2" w:rsidRDefault="00B71EF2">
      <w:r>
        <w:separator/>
      </w:r>
    </w:p>
  </w:endnote>
  <w:endnote w:type="continuationSeparator" w:id="0">
    <w:p w14:paraId="77E2D11A" w14:textId="77777777" w:rsidR="00B71EF2" w:rsidRDefault="00B71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D7657D1-0BED-43DD-9DFF-1BE031BFE955}"/>
    <w:embedBold r:id="rId2" w:fontKey="{7FFC71F0-55E1-4B96-A888-371D152BC741}"/>
    <w:embedItalic r:id="rId3" w:fontKey="{6C3861DD-EFED-4E2F-AB9F-C0DB5A0F266C}"/>
    <w:embedBoldItalic r:id="rId4" w:fontKey="{01E31189-9676-4543-A055-FF3CADD3373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A90F717C-273F-4B7F-B2A1-C33313900B6F}"/>
    <w:embedItalic r:id="rId6" w:fontKey="{2B9DC90E-2574-4D94-9DBC-EDCF1F7EAC83}"/>
  </w:font>
  <w:font w:name="Calibri">
    <w:panose1 w:val="020F0502020204030204"/>
    <w:charset w:val="00"/>
    <w:family w:val="swiss"/>
    <w:pitch w:val="variable"/>
    <w:sig w:usb0="E4002EFF" w:usb1="C000247B" w:usb2="00000009" w:usb3="00000000" w:csb0="000001FF" w:csb1="00000000"/>
    <w:embedRegular r:id="rId7" w:fontKey="{848202B9-0391-4362-A6B8-FCB63EC272C1}"/>
    <w:embedBold r:id="rId8" w:fontKey="{D97C72FC-C8ED-46F6-BDF5-7B1B7951BBE9}"/>
    <w:embedItalic r:id="rId9" w:fontKey="{3C9902B9-6802-4744-87BD-7FD95FC47E00}"/>
    <w:embedBoldItalic r:id="rId10" w:fontKey="{42FE4B52-6425-463C-A88F-A8F62BBA30F6}"/>
  </w:font>
  <w:font w:name="Cambria">
    <w:panose1 w:val="02040503050406030204"/>
    <w:charset w:val="00"/>
    <w:family w:val="roman"/>
    <w:pitch w:val="variable"/>
    <w:sig w:usb0="E00006FF" w:usb1="420024FF" w:usb2="02000000" w:usb3="00000000" w:csb0="0000019F" w:csb1="00000000"/>
    <w:embedRegular r:id="rId11" w:fontKey="{C1FBA789-7F97-491D-87F5-86070F010A3A}"/>
    <w:embedBold r:id="rId12" w:fontKey="{5CBC33D6-D148-41B2-A5A3-65B9DD9E03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96B69" w14:textId="77777777" w:rsidR="00165F36" w:rsidRDefault="00030FDD">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01A658C" w14:textId="77777777" w:rsidR="00165F36" w:rsidRDefault="00165F36">
    <w:pPr>
      <w:pBdr>
        <w:top w:val="nil"/>
        <w:left w:val="nil"/>
        <w:bottom w:val="nil"/>
        <w:right w:val="nil"/>
        <w:between w:val="nil"/>
      </w:pBdr>
      <w:tabs>
        <w:tab w:val="center" w:pos="4320"/>
        <w:tab w:val="right" w:pos="8640"/>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33D42" w14:textId="77777777" w:rsidR="00165F36" w:rsidRDefault="00165F36">
    <w:pPr>
      <w:widowControl w:val="0"/>
      <w:pBdr>
        <w:top w:val="nil"/>
        <w:left w:val="nil"/>
        <w:bottom w:val="nil"/>
        <w:right w:val="nil"/>
        <w:between w:val="nil"/>
      </w:pBdr>
      <w:spacing w:line="276" w:lineRule="auto"/>
      <w:rPr>
        <w:color w:val="000000"/>
      </w:rPr>
    </w:pPr>
  </w:p>
  <w:tbl>
    <w:tblPr>
      <w:tblStyle w:val="a5"/>
      <w:tblW w:w="11908" w:type="dxa"/>
      <w:tblInd w:w="-846" w:type="dxa"/>
      <w:tblBorders>
        <w:top w:val="nil"/>
        <w:left w:val="nil"/>
        <w:bottom w:val="nil"/>
        <w:right w:val="nil"/>
        <w:insideH w:val="nil"/>
        <w:insideV w:val="nil"/>
      </w:tblBorders>
      <w:tblLayout w:type="fixed"/>
      <w:tblLook w:val="0400" w:firstRow="0" w:lastRow="0" w:firstColumn="0" w:lastColumn="0" w:noHBand="0" w:noVBand="1"/>
    </w:tblPr>
    <w:tblGrid>
      <w:gridCol w:w="2694"/>
      <w:gridCol w:w="9214"/>
    </w:tblGrid>
    <w:tr w:rsidR="00165F36" w14:paraId="6F07E59D" w14:textId="77777777">
      <w:trPr>
        <w:trHeight w:val="709"/>
      </w:trPr>
      <w:tc>
        <w:tcPr>
          <w:tcW w:w="2694" w:type="dxa"/>
          <w:shd w:val="clear" w:color="auto" w:fill="514DAA"/>
        </w:tcPr>
        <w:p w14:paraId="7661DAD3" w14:textId="77777777" w:rsidR="00165F36" w:rsidRDefault="00030FDD">
          <w:pPr>
            <w:pBdr>
              <w:top w:val="nil"/>
              <w:left w:val="nil"/>
              <w:bottom w:val="nil"/>
              <w:right w:val="nil"/>
              <w:between w:val="nil"/>
            </w:pBdr>
            <w:tabs>
              <w:tab w:val="center" w:pos="4320"/>
              <w:tab w:val="right" w:pos="8640"/>
              <w:tab w:val="left" w:pos="2040"/>
              <w:tab w:val="right" w:pos="2478"/>
            </w:tabs>
            <w:jc w:val="left"/>
            <w:rPr>
              <w:color w:val="000000"/>
            </w:rPr>
          </w:pPr>
          <w:r>
            <w:rPr>
              <w:noProof/>
              <w:color w:val="000000"/>
            </w:rPr>
            <w:drawing>
              <wp:inline distT="0" distB="0" distL="0" distR="0" wp14:anchorId="041E81D5" wp14:editId="21678DB1">
                <wp:extent cx="430505" cy="438228"/>
                <wp:effectExtent l="0" t="0" r="0" b="0"/>
                <wp:docPr id="1262260956" name="image1.png" descr="A logo with swirls an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swirls and lines&#10;&#10;Description automatically generated"/>
                        <pic:cNvPicPr preferRelativeResize="0"/>
                      </pic:nvPicPr>
                      <pic:blipFill>
                        <a:blip r:embed="rId1"/>
                        <a:srcRect/>
                        <a:stretch>
                          <a:fillRect/>
                        </a:stretch>
                      </pic:blipFill>
                      <pic:spPr>
                        <a:xfrm>
                          <a:off x="0" y="0"/>
                          <a:ext cx="430505" cy="438228"/>
                        </a:xfrm>
                        <a:prstGeom prst="rect">
                          <a:avLst/>
                        </a:prstGeom>
                        <a:ln/>
                      </pic:spPr>
                    </pic:pic>
                  </a:graphicData>
                </a:graphic>
              </wp:inline>
            </w:drawing>
          </w:r>
          <w:r>
            <w:rPr>
              <w:color w:val="000000"/>
            </w:rPr>
            <w:tab/>
          </w:r>
          <w:r>
            <w:rPr>
              <w:color w:val="000000"/>
            </w:rPr>
            <w:tab/>
          </w:r>
        </w:p>
      </w:tc>
      <w:tc>
        <w:tcPr>
          <w:tcW w:w="9214" w:type="dxa"/>
          <w:shd w:val="clear" w:color="auto" w:fill="514DAA"/>
        </w:tcPr>
        <w:p w14:paraId="2314C64B" w14:textId="3452FCA9" w:rsidR="00165F36" w:rsidRDefault="00030FDD">
          <w:pPr>
            <w:pBdr>
              <w:top w:val="nil"/>
              <w:left w:val="nil"/>
              <w:bottom w:val="nil"/>
              <w:right w:val="nil"/>
              <w:between w:val="nil"/>
            </w:pBdr>
            <w:tabs>
              <w:tab w:val="center" w:pos="4320"/>
              <w:tab w:val="right" w:pos="8640"/>
            </w:tabs>
            <w:jc w:val="left"/>
            <w:rPr>
              <w:rFonts w:ascii="Calibri" w:eastAsia="Calibri" w:hAnsi="Calibri" w:cs="Calibri"/>
              <w:color w:val="FFFFFF"/>
              <w:sz w:val="24"/>
              <w:szCs w:val="24"/>
            </w:rPr>
          </w:pPr>
          <w:r>
            <w:rPr>
              <w:b/>
              <w:color w:val="FFFFFF"/>
            </w:rPr>
            <w:t xml:space="preserve">                                                                                             </w:t>
          </w:r>
          <w:r w:rsidR="00E5196E">
            <w:rPr>
              <w:b/>
              <w:color w:val="FFFFFF"/>
            </w:rPr>
            <w:t xml:space="preserve">Adimaitoga Rabuku </w:t>
          </w:r>
          <w:r>
            <w:rPr>
              <w:rFonts w:ascii="Calibri" w:eastAsia="Calibri" w:hAnsi="Calibri" w:cs="Calibri"/>
              <w:color w:val="FFFFFF"/>
              <w:sz w:val="24"/>
              <w:szCs w:val="24"/>
            </w:rPr>
            <w:t xml:space="preserve">|Page </w:t>
          </w:r>
          <w:r>
            <w:rPr>
              <w:rFonts w:ascii="Calibri" w:eastAsia="Calibri" w:hAnsi="Calibri" w:cs="Calibri"/>
              <w:color w:val="FFFFFF"/>
              <w:sz w:val="24"/>
              <w:szCs w:val="24"/>
            </w:rPr>
            <w:fldChar w:fldCharType="begin"/>
          </w:r>
          <w:r>
            <w:rPr>
              <w:rFonts w:ascii="Calibri" w:eastAsia="Calibri" w:hAnsi="Calibri" w:cs="Calibri"/>
              <w:color w:val="FFFFFF"/>
              <w:sz w:val="24"/>
              <w:szCs w:val="24"/>
            </w:rPr>
            <w:instrText>PAGE</w:instrText>
          </w:r>
          <w:r>
            <w:rPr>
              <w:rFonts w:ascii="Calibri" w:eastAsia="Calibri" w:hAnsi="Calibri" w:cs="Calibri"/>
              <w:color w:val="FFFFFF"/>
              <w:sz w:val="24"/>
              <w:szCs w:val="24"/>
            </w:rPr>
            <w:fldChar w:fldCharType="separate"/>
          </w:r>
          <w:r w:rsidR="005226E9">
            <w:rPr>
              <w:rFonts w:ascii="Calibri" w:eastAsia="Calibri" w:hAnsi="Calibri" w:cs="Calibri"/>
              <w:noProof/>
              <w:color w:val="FFFFFF"/>
              <w:sz w:val="24"/>
              <w:szCs w:val="24"/>
            </w:rPr>
            <w:t>2</w:t>
          </w:r>
          <w:r>
            <w:rPr>
              <w:rFonts w:ascii="Calibri" w:eastAsia="Calibri" w:hAnsi="Calibri" w:cs="Calibri"/>
              <w:color w:val="FFFFFF"/>
              <w:sz w:val="24"/>
              <w:szCs w:val="24"/>
            </w:rPr>
            <w:fldChar w:fldCharType="end"/>
          </w:r>
        </w:p>
      </w:tc>
    </w:tr>
  </w:tbl>
  <w:p w14:paraId="1D00A4FC" w14:textId="77777777" w:rsidR="00165F36" w:rsidRDefault="00165F36">
    <w:pPr>
      <w:pBdr>
        <w:top w:val="nil"/>
        <w:left w:val="nil"/>
        <w:bottom w:val="nil"/>
        <w:right w:val="nil"/>
        <w:between w:val="nil"/>
      </w:pBdr>
      <w:tabs>
        <w:tab w:val="center" w:pos="4320"/>
        <w:tab w:val="right" w:pos="8640"/>
        <w:tab w:val="right" w:pos="9072"/>
      </w:tabs>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2B4BD" w14:textId="77777777" w:rsidR="00165F36" w:rsidRDefault="00165F36">
    <w:pPr>
      <w:widowControl w:val="0"/>
      <w:pBdr>
        <w:top w:val="nil"/>
        <w:left w:val="nil"/>
        <w:bottom w:val="nil"/>
        <w:right w:val="nil"/>
        <w:between w:val="nil"/>
      </w:pBdr>
      <w:spacing w:line="276" w:lineRule="auto"/>
      <w:rPr>
        <w:color w:val="000000"/>
        <w:sz w:val="18"/>
        <w:szCs w:val="18"/>
      </w:rPr>
    </w:pPr>
  </w:p>
  <w:tbl>
    <w:tblPr>
      <w:tblStyle w:val="a6"/>
      <w:tblW w:w="11908" w:type="dxa"/>
      <w:tblInd w:w="-1405" w:type="dxa"/>
      <w:tblBorders>
        <w:top w:val="nil"/>
        <w:left w:val="nil"/>
        <w:bottom w:val="nil"/>
        <w:right w:val="nil"/>
        <w:insideH w:val="nil"/>
        <w:insideV w:val="nil"/>
      </w:tblBorders>
      <w:tblLayout w:type="fixed"/>
      <w:tblLook w:val="0400" w:firstRow="0" w:lastRow="0" w:firstColumn="0" w:lastColumn="0" w:noHBand="0" w:noVBand="1"/>
    </w:tblPr>
    <w:tblGrid>
      <w:gridCol w:w="2694"/>
      <w:gridCol w:w="9214"/>
    </w:tblGrid>
    <w:tr w:rsidR="00165F36" w14:paraId="78863952" w14:textId="77777777">
      <w:trPr>
        <w:trHeight w:val="709"/>
      </w:trPr>
      <w:tc>
        <w:tcPr>
          <w:tcW w:w="2694" w:type="dxa"/>
          <w:shd w:val="clear" w:color="auto" w:fill="514DAA"/>
        </w:tcPr>
        <w:p w14:paraId="02CC6E90" w14:textId="77777777" w:rsidR="00165F36" w:rsidRDefault="00030FDD">
          <w:pPr>
            <w:pBdr>
              <w:top w:val="nil"/>
              <w:left w:val="nil"/>
              <w:bottom w:val="nil"/>
              <w:right w:val="nil"/>
              <w:between w:val="nil"/>
            </w:pBdr>
            <w:tabs>
              <w:tab w:val="center" w:pos="4320"/>
              <w:tab w:val="right" w:pos="8640"/>
              <w:tab w:val="right" w:pos="2478"/>
            </w:tabs>
            <w:jc w:val="left"/>
            <w:rPr>
              <w:color w:val="000000"/>
            </w:rPr>
          </w:pPr>
          <w:r>
            <w:rPr>
              <w:noProof/>
              <w:color w:val="000000"/>
            </w:rPr>
            <w:drawing>
              <wp:inline distT="0" distB="0" distL="0" distR="0" wp14:anchorId="40694F23" wp14:editId="230DC350">
                <wp:extent cx="430505" cy="438228"/>
                <wp:effectExtent l="0" t="0" r="0" b="0"/>
                <wp:docPr id="1262260955" name="image1.png" descr="A logo with swirls an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swirls and lines&#10;&#10;Description automatically generated"/>
                        <pic:cNvPicPr preferRelativeResize="0"/>
                      </pic:nvPicPr>
                      <pic:blipFill>
                        <a:blip r:embed="rId1"/>
                        <a:srcRect/>
                        <a:stretch>
                          <a:fillRect/>
                        </a:stretch>
                      </pic:blipFill>
                      <pic:spPr>
                        <a:xfrm>
                          <a:off x="0" y="0"/>
                          <a:ext cx="430505" cy="438228"/>
                        </a:xfrm>
                        <a:prstGeom prst="rect">
                          <a:avLst/>
                        </a:prstGeom>
                        <a:ln/>
                      </pic:spPr>
                    </pic:pic>
                  </a:graphicData>
                </a:graphic>
              </wp:inline>
            </w:drawing>
          </w:r>
          <w:r>
            <w:rPr>
              <w:color w:val="000000"/>
            </w:rPr>
            <w:tab/>
          </w:r>
        </w:p>
      </w:tc>
      <w:tc>
        <w:tcPr>
          <w:tcW w:w="9214" w:type="dxa"/>
          <w:shd w:val="clear" w:color="auto" w:fill="514DAA"/>
        </w:tcPr>
        <w:p w14:paraId="77BA2AC1" w14:textId="403BE60D" w:rsidR="00165F36" w:rsidRDefault="00030FDD">
          <w:pPr>
            <w:pBdr>
              <w:top w:val="nil"/>
              <w:left w:val="nil"/>
              <w:bottom w:val="nil"/>
              <w:right w:val="nil"/>
              <w:between w:val="nil"/>
            </w:pBdr>
            <w:tabs>
              <w:tab w:val="center" w:pos="4320"/>
              <w:tab w:val="right" w:pos="8640"/>
            </w:tabs>
            <w:jc w:val="left"/>
            <w:rPr>
              <w:rFonts w:ascii="Calibri" w:eastAsia="Calibri" w:hAnsi="Calibri" w:cs="Calibri"/>
              <w:color w:val="FFFFFF"/>
              <w:sz w:val="24"/>
              <w:szCs w:val="24"/>
            </w:rPr>
          </w:pPr>
          <w:r>
            <w:rPr>
              <w:b/>
              <w:color w:val="FFFFFF"/>
            </w:rPr>
            <w:t xml:space="preserve">                                                                                             </w:t>
          </w:r>
          <w:r w:rsidR="00E5196E">
            <w:rPr>
              <w:b/>
              <w:color w:val="FFFFFF"/>
            </w:rPr>
            <w:t>Adimaitoga Rabuku</w:t>
          </w:r>
          <w:r>
            <w:rPr>
              <w:rFonts w:ascii="Calibri" w:eastAsia="Calibri" w:hAnsi="Calibri" w:cs="Calibri"/>
              <w:color w:val="FFFFFF"/>
              <w:sz w:val="24"/>
              <w:szCs w:val="24"/>
            </w:rPr>
            <w:t>| Page 1</w:t>
          </w:r>
        </w:p>
        <w:p w14:paraId="3C0720E8" w14:textId="77777777" w:rsidR="00165F36" w:rsidRDefault="00030FDD">
          <w:pPr>
            <w:tabs>
              <w:tab w:val="left" w:pos="3495"/>
            </w:tabs>
          </w:pPr>
          <w:r>
            <w:tab/>
          </w:r>
        </w:p>
      </w:tc>
    </w:tr>
  </w:tbl>
  <w:p w14:paraId="50520536" w14:textId="77777777" w:rsidR="00165F36" w:rsidRDefault="00030FDD">
    <w:pPr>
      <w:pBdr>
        <w:top w:val="nil"/>
        <w:left w:val="nil"/>
        <w:bottom w:val="nil"/>
        <w:right w:val="nil"/>
        <w:between w:val="nil"/>
      </w:pBdr>
      <w:tabs>
        <w:tab w:val="center" w:pos="4320"/>
        <w:tab w:val="right" w:pos="8640"/>
      </w:tabs>
      <w:rPr>
        <w:color w:val="000000"/>
      </w:rPr>
    </w:pPr>
    <w:r>
      <w:rPr>
        <w:color w:val="000000"/>
      </w:rPr>
      <w:tab/>
      <w:t xml:space="preserve">         </w:t>
    </w:r>
  </w:p>
  <w:p w14:paraId="759EBD5C" w14:textId="656948C4" w:rsidR="00165F36" w:rsidRDefault="00165F36">
    <w:pPr>
      <w:pBdr>
        <w:top w:val="nil"/>
        <w:left w:val="nil"/>
        <w:bottom w:val="nil"/>
        <w:right w:val="nil"/>
        <w:between w:val="nil"/>
      </w:pBdr>
      <w:tabs>
        <w:tab w:val="center" w:pos="4320"/>
        <w:tab w:val="right" w:pos="864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D12EE" w14:textId="77777777" w:rsidR="00B71EF2" w:rsidRDefault="00B71EF2">
      <w:r>
        <w:separator/>
      </w:r>
    </w:p>
  </w:footnote>
  <w:footnote w:type="continuationSeparator" w:id="0">
    <w:p w14:paraId="6E88BB36" w14:textId="77777777" w:rsidR="00B71EF2" w:rsidRDefault="00B71E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F2B92" w14:textId="77777777" w:rsidR="00165F36" w:rsidRDefault="00030FD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9C77201" w14:textId="77777777" w:rsidR="00165F36" w:rsidRDefault="00165F3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84C33" w14:textId="77777777" w:rsidR="00165F36" w:rsidRDefault="00165F36">
    <w:pPr>
      <w:pBdr>
        <w:top w:val="nil"/>
        <w:left w:val="nil"/>
        <w:bottom w:val="nil"/>
        <w:right w:val="nil"/>
        <w:between w:val="nil"/>
      </w:pBdr>
      <w:tabs>
        <w:tab w:val="center" w:pos="4320"/>
        <w:tab w:val="right" w:pos="8640"/>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2AF9D" w14:textId="77777777" w:rsidR="00165F36" w:rsidRDefault="00165F36">
    <w:pPr>
      <w:widowControl w:val="0"/>
      <w:pBdr>
        <w:top w:val="nil"/>
        <w:left w:val="nil"/>
        <w:bottom w:val="nil"/>
        <w:right w:val="nil"/>
        <w:between w:val="nil"/>
      </w:pBdr>
      <w:spacing w:line="276" w:lineRule="auto"/>
      <w:rPr>
        <w:color w:val="000000"/>
      </w:rPr>
    </w:pPr>
  </w:p>
  <w:tbl>
    <w:tblPr>
      <w:tblStyle w:val="a4"/>
      <w:tblW w:w="11908" w:type="dxa"/>
      <w:tblInd w:w="-1413" w:type="dxa"/>
      <w:tblBorders>
        <w:top w:val="nil"/>
        <w:left w:val="nil"/>
        <w:bottom w:val="nil"/>
        <w:right w:val="nil"/>
        <w:insideH w:val="nil"/>
        <w:insideV w:val="nil"/>
      </w:tblBorders>
      <w:tblLayout w:type="fixed"/>
      <w:tblLook w:val="0400" w:firstRow="0" w:lastRow="0" w:firstColumn="0" w:lastColumn="0" w:noHBand="0" w:noVBand="1"/>
    </w:tblPr>
    <w:tblGrid>
      <w:gridCol w:w="4050"/>
      <w:gridCol w:w="7858"/>
    </w:tblGrid>
    <w:tr w:rsidR="00165F36" w14:paraId="5803C2AA" w14:textId="77777777">
      <w:trPr>
        <w:trHeight w:val="1843"/>
      </w:trPr>
      <w:tc>
        <w:tcPr>
          <w:tcW w:w="4050" w:type="dxa"/>
          <w:shd w:val="clear" w:color="auto" w:fill="514DAA"/>
        </w:tcPr>
        <w:p w14:paraId="3A57CC76" w14:textId="77777777" w:rsidR="00165F36" w:rsidRDefault="00030FDD">
          <w:pPr>
            <w:ind w:left="-1523"/>
          </w:pPr>
          <w:r>
            <w:rPr>
              <w:noProof/>
            </w:rPr>
            <w:drawing>
              <wp:anchor distT="0" distB="0" distL="114300" distR="114300" simplePos="0" relativeHeight="251658240" behindDoc="0" locked="0" layoutInCell="1" hidden="0" allowOverlap="1" wp14:anchorId="1CB37374" wp14:editId="2B60ECCD">
                <wp:simplePos x="0" y="0"/>
                <wp:positionH relativeFrom="column">
                  <wp:posOffset>166369</wp:posOffset>
                </wp:positionH>
                <wp:positionV relativeFrom="paragraph">
                  <wp:posOffset>219075</wp:posOffset>
                </wp:positionV>
                <wp:extent cx="2257425" cy="767080"/>
                <wp:effectExtent l="0" t="0" r="0" b="0"/>
                <wp:wrapSquare wrapText="bothSides" distT="0" distB="0" distL="114300" distR="114300"/>
                <wp:docPr id="1262260954" name="image4.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up of a logo&#10;&#10;Description automatically generated"/>
                        <pic:cNvPicPr preferRelativeResize="0"/>
                      </pic:nvPicPr>
                      <pic:blipFill>
                        <a:blip r:embed="rId1"/>
                        <a:srcRect/>
                        <a:stretch>
                          <a:fillRect/>
                        </a:stretch>
                      </pic:blipFill>
                      <pic:spPr>
                        <a:xfrm>
                          <a:off x="0" y="0"/>
                          <a:ext cx="2257425" cy="767080"/>
                        </a:xfrm>
                        <a:prstGeom prst="rect">
                          <a:avLst/>
                        </a:prstGeom>
                        <a:ln/>
                      </pic:spPr>
                    </pic:pic>
                  </a:graphicData>
                </a:graphic>
              </wp:anchor>
            </w:drawing>
          </w:r>
        </w:p>
      </w:tc>
      <w:tc>
        <w:tcPr>
          <w:tcW w:w="7858" w:type="dxa"/>
          <w:shd w:val="clear" w:color="auto" w:fill="514DAA"/>
        </w:tcPr>
        <w:p w14:paraId="554BAE12" w14:textId="77777777" w:rsidR="00165F36" w:rsidRDefault="00165F36">
          <w:pPr>
            <w:rPr>
              <w:rFonts w:ascii="Cambria" w:eastAsia="Cambria" w:hAnsi="Cambria" w:cs="Cambria"/>
              <w:b/>
              <w:sz w:val="28"/>
              <w:szCs w:val="28"/>
            </w:rPr>
          </w:pPr>
        </w:p>
        <w:p w14:paraId="5361D542" w14:textId="6C8983ED" w:rsidR="00165F36" w:rsidRDefault="00E5196E">
          <w:pPr>
            <w:spacing w:line="360" w:lineRule="auto"/>
            <w:rPr>
              <w:rFonts w:ascii="Cambria" w:eastAsia="Cambria" w:hAnsi="Cambria" w:cs="Cambria"/>
              <w:b/>
              <w:color w:val="FFFFFF"/>
              <w:sz w:val="26"/>
              <w:szCs w:val="26"/>
            </w:rPr>
          </w:pPr>
          <w:r>
            <w:rPr>
              <w:rFonts w:ascii="Cambria" w:eastAsia="Cambria" w:hAnsi="Cambria" w:cs="Cambria"/>
              <w:b/>
              <w:color w:val="FFFFFF"/>
              <w:sz w:val="26"/>
              <w:szCs w:val="26"/>
            </w:rPr>
            <w:t>Pacific</w:t>
          </w:r>
          <w:r w:rsidR="00030FDD">
            <w:rPr>
              <w:rFonts w:ascii="Cambria" w:eastAsia="Cambria" w:hAnsi="Cambria" w:cs="Cambria"/>
              <w:b/>
              <w:color w:val="FFFFFF"/>
              <w:sz w:val="26"/>
              <w:szCs w:val="26"/>
            </w:rPr>
            <w:t xml:space="preserve"> Development Field Research Award</w:t>
          </w:r>
        </w:p>
        <w:p w14:paraId="6B3F3451" w14:textId="77777777" w:rsidR="00165F36" w:rsidRDefault="00030FDD">
          <w:pPr>
            <w:spacing w:line="360" w:lineRule="auto"/>
            <w:rPr>
              <w:rFonts w:ascii="Cambria" w:eastAsia="Cambria" w:hAnsi="Cambria" w:cs="Cambria"/>
              <w:b/>
              <w:color w:val="FFFFFF"/>
              <w:sz w:val="26"/>
              <w:szCs w:val="26"/>
            </w:rPr>
          </w:pPr>
          <w:r>
            <w:rPr>
              <w:rFonts w:ascii="Cambria" w:eastAsia="Cambria" w:hAnsi="Cambria" w:cs="Cambria"/>
              <w:b/>
              <w:color w:val="FFFFFF"/>
              <w:sz w:val="26"/>
              <w:szCs w:val="26"/>
            </w:rPr>
            <w:t>Policy Brief</w:t>
          </w:r>
        </w:p>
        <w:p w14:paraId="72C7047A" w14:textId="77777777" w:rsidR="00165F36" w:rsidRDefault="00030FDD">
          <w:pPr>
            <w:spacing w:line="360" w:lineRule="auto"/>
            <w:rPr>
              <w:rFonts w:ascii="Cambria" w:eastAsia="Cambria" w:hAnsi="Cambria" w:cs="Cambria"/>
              <w:b/>
              <w:sz w:val="24"/>
              <w:szCs w:val="24"/>
            </w:rPr>
          </w:pPr>
          <w:r>
            <w:rPr>
              <w:rFonts w:ascii="Cambria" w:eastAsia="Cambria" w:hAnsi="Cambria" w:cs="Cambria"/>
              <w:b/>
              <w:color w:val="FFFFFF"/>
              <w:sz w:val="26"/>
              <w:szCs w:val="26"/>
            </w:rPr>
            <w:t xml:space="preserve">2024 </w:t>
          </w:r>
        </w:p>
      </w:tc>
    </w:tr>
  </w:tbl>
  <w:p w14:paraId="234FE7D3" w14:textId="77777777" w:rsidR="00165F36" w:rsidRDefault="00165F36">
    <w:pPr>
      <w:pBdr>
        <w:top w:val="nil"/>
        <w:left w:val="nil"/>
        <w:bottom w:val="nil"/>
        <w:right w:val="nil"/>
        <w:between w:val="nil"/>
      </w:pBdr>
      <w:tabs>
        <w:tab w:val="center" w:pos="4320"/>
        <w:tab w:val="right" w:pos="8640"/>
        <w:tab w:val="center" w:pos="4536"/>
        <w:tab w:val="right" w:pos="9072"/>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27B52" w14:textId="77777777" w:rsidR="00165F36" w:rsidRDefault="00165F36">
    <w:pPr>
      <w:pBdr>
        <w:top w:val="nil"/>
        <w:left w:val="nil"/>
        <w:bottom w:val="nil"/>
        <w:right w:val="nil"/>
        <w:between w:val="nil"/>
      </w:pBdr>
      <w:tabs>
        <w:tab w:val="center" w:pos="4320"/>
        <w:tab w:val="right" w:pos="8640"/>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2061"/>
    <w:multiLevelType w:val="hybridMultilevel"/>
    <w:tmpl w:val="79CE74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8BD5FC4"/>
    <w:multiLevelType w:val="multilevel"/>
    <w:tmpl w:val="547EF24C"/>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806CA9"/>
    <w:multiLevelType w:val="hybridMultilevel"/>
    <w:tmpl w:val="A45622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CEF35F0"/>
    <w:multiLevelType w:val="hybridMultilevel"/>
    <w:tmpl w:val="CE6EC7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5724FEF"/>
    <w:multiLevelType w:val="multilevel"/>
    <w:tmpl w:val="99A84CE8"/>
    <w:lvl w:ilvl="0">
      <w:start w:val="1"/>
      <w:numFmt w:val="bullet"/>
      <w:pStyle w:val="BulletText1"/>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9D76EF"/>
    <w:multiLevelType w:val="hybridMultilevel"/>
    <w:tmpl w:val="12B619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458B1956"/>
    <w:multiLevelType w:val="hybridMultilevel"/>
    <w:tmpl w:val="77A09B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46600C77"/>
    <w:multiLevelType w:val="multilevel"/>
    <w:tmpl w:val="BBAC3AC2"/>
    <w:lvl w:ilvl="0">
      <w:start w:val="1"/>
      <w:numFmt w:val="bullet"/>
      <w:lvlText w:val="➢"/>
      <w:lvlJc w:val="right"/>
      <w:pPr>
        <w:ind w:left="1440" w:hanging="360"/>
      </w:pPr>
      <w:rPr>
        <w:u w:val="none"/>
      </w:rPr>
    </w:lvl>
    <w:lvl w:ilvl="1">
      <w:start w:val="1"/>
      <w:numFmt w:val="bullet"/>
      <w:lvlText w:val="○"/>
      <w:lvlJc w:val="right"/>
      <w:pPr>
        <w:ind w:left="2160" w:hanging="360"/>
      </w:pPr>
      <w:rPr>
        <w:u w:val="none"/>
      </w:rPr>
    </w:lvl>
    <w:lvl w:ilvl="2">
      <w:start w:val="1"/>
      <w:numFmt w:val="bullet"/>
      <w:lvlText w:val="■"/>
      <w:lvlJc w:val="right"/>
      <w:pPr>
        <w:ind w:left="2880" w:hanging="360"/>
      </w:pPr>
      <w:rPr>
        <w:u w:val="none"/>
      </w:rPr>
    </w:lvl>
    <w:lvl w:ilvl="3">
      <w:start w:val="1"/>
      <w:numFmt w:val="bullet"/>
      <w:lvlText w:val="●"/>
      <w:lvlJc w:val="right"/>
      <w:pPr>
        <w:ind w:left="3600" w:hanging="360"/>
      </w:pPr>
      <w:rPr>
        <w:u w:val="none"/>
      </w:rPr>
    </w:lvl>
    <w:lvl w:ilvl="4">
      <w:start w:val="1"/>
      <w:numFmt w:val="bullet"/>
      <w:lvlText w:val="○"/>
      <w:lvlJc w:val="right"/>
      <w:pPr>
        <w:ind w:left="4320" w:hanging="360"/>
      </w:pPr>
      <w:rPr>
        <w:u w:val="none"/>
      </w:rPr>
    </w:lvl>
    <w:lvl w:ilvl="5">
      <w:start w:val="1"/>
      <w:numFmt w:val="bullet"/>
      <w:lvlText w:val="■"/>
      <w:lvlJc w:val="right"/>
      <w:pPr>
        <w:ind w:left="5040" w:hanging="360"/>
      </w:pPr>
      <w:rPr>
        <w:u w:val="none"/>
      </w:rPr>
    </w:lvl>
    <w:lvl w:ilvl="6">
      <w:start w:val="1"/>
      <w:numFmt w:val="bullet"/>
      <w:lvlText w:val="●"/>
      <w:lvlJc w:val="right"/>
      <w:pPr>
        <w:ind w:left="5760" w:hanging="360"/>
      </w:pPr>
      <w:rPr>
        <w:u w:val="none"/>
      </w:rPr>
    </w:lvl>
    <w:lvl w:ilvl="7">
      <w:start w:val="1"/>
      <w:numFmt w:val="bullet"/>
      <w:lvlText w:val="○"/>
      <w:lvlJc w:val="right"/>
      <w:pPr>
        <w:ind w:left="6480" w:hanging="360"/>
      </w:pPr>
      <w:rPr>
        <w:u w:val="none"/>
      </w:rPr>
    </w:lvl>
    <w:lvl w:ilvl="8">
      <w:start w:val="1"/>
      <w:numFmt w:val="bullet"/>
      <w:lvlText w:val="■"/>
      <w:lvlJc w:val="right"/>
      <w:pPr>
        <w:ind w:left="7200" w:hanging="360"/>
      </w:pPr>
      <w:rPr>
        <w:u w:val="none"/>
      </w:rPr>
    </w:lvl>
  </w:abstractNum>
  <w:abstractNum w:abstractNumId="8" w15:restartNumberingAfterBreak="0">
    <w:nsid w:val="4AB540D5"/>
    <w:multiLevelType w:val="multilevel"/>
    <w:tmpl w:val="D772B960"/>
    <w:lvl w:ilvl="0">
      <w:start w:val="1"/>
      <w:numFmt w:val="decimal"/>
      <w:pStyle w:val="BulletTex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9F850BF"/>
    <w:multiLevelType w:val="hybridMultilevel"/>
    <w:tmpl w:val="0F48B8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5D067A82"/>
    <w:multiLevelType w:val="hybridMultilevel"/>
    <w:tmpl w:val="EAD4610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73DB5B41"/>
    <w:multiLevelType w:val="hybridMultilevel"/>
    <w:tmpl w:val="0FAEE5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7DD81B5D"/>
    <w:multiLevelType w:val="hybridMultilevel"/>
    <w:tmpl w:val="F54AE0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7FFB08B8"/>
    <w:multiLevelType w:val="hybridMultilevel"/>
    <w:tmpl w:val="5DEA362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860315977">
    <w:abstractNumId w:val="7"/>
  </w:num>
  <w:num w:numId="2" w16cid:durableId="1783762651">
    <w:abstractNumId w:val="4"/>
  </w:num>
  <w:num w:numId="3" w16cid:durableId="1132481201">
    <w:abstractNumId w:val="1"/>
  </w:num>
  <w:num w:numId="4" w16cid:durableId="414782634">
    <w:abstractNumId w:val="8"/>
  </w:num>
  <w:num w:numId="5" w16cid:durableId="582852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040064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9691328">
    <w:abstractNumId w:val="0"/>
  </w:num>
  <w:num w:numId="8" w16cid:durableId="2071490570">
    <w:abstractNumId w:val="11"/>
  </w:num>
  <w:num w:numId="9" w16cid:durableId="894854224">
    <w:abstractNumId w:val="3"/>
  </w:num>
  <w:num w:numId="10" w16cid:durableId="1534922000">
    <w:abstractNumId w:val="5"/>
  </w:num>
  <w:num w:numId="11" w16cid:durableId="520358308">
    <w:abstractNumId w:val="12"/>
  </w:num>
  <w:num w:numId="12" w16cid:durableId="1839033834">
    <w:abstractNumId w:val="13"/>
  </w:num>
  <w:num w:numId="13" w16cid:durableId="1448771005">
    <w:abstractNumId w:val="2"/>
  </w:num>
  <w:num w:numId="14" w16cid:durableId="1140879416">
    <w:abstractNumId w:val="10"/>
  </w:num>
  <w:num w:numId="15" w16cid:durableId="148400927">
    <w:abstractNumId w:val="6"/>
  </w:num>
  <w:num w:numId="16" w16cid:durableId="6650888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7Y0N7EwMDEwNrYAcpV0lIJTi4sz8/NACgyNawGnRTU3LQAAAA=="/>
    <w:docVar w:name="EN.InstantFormat" w:val="&lt;ENInstantFormat&gt;&lt;Enabled&gt;1&lt;/Enabled&gt;&lt;ScanUnformatted&gt;1&lt;/ScanUnformatted&gt;&lt;ScanChanges&gt;1&lt;/ScanChanges&gt;&lt;Suspended&gt;0&lt;/Suspended&gt;&lt;/ENInstantFormat&gt;"/>
    <w:docVar w:name="EN.Layout" w:val="&lt;ENLayout&gt;&lt;Style&gt;Amer Meteorological Society&lt;/Style&gt;&lt;LeftDelim&gt;{&lt;/LeftDelim&gt;&lt;RightDelim&gt;}&lt;/RightDelim&gt;&lt;FontName&gt;Arial&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f9rwp0zu0rpdaedpswxafpaf5ee5wtp5wse&quot;&gt;My EndNote Library-Converted_Adi Copy&lt;record-ids&gt;&lt;item&gt;20&lt;/item&gt;&lt;item&gt;24&lt;/item&gt;&lt;item&gt;52&lt;/item&gt;&lt;item&gt;100&lt;/item&gt;&lt;item&gt;176&lt;/item&gt;&lt;item&gt;228&lt;/item&gt;&lt;item&gt;251&lt;/item&gt;&lt;item&gt;370&lt;/item&gt;&lt;item&gt;390&lt;/item&gt;&lt;/record-ids&gt;&lt;/item&gt;&lt;/Libraries&gt;"/>
  </w:docVars>
  <w:rsids>
    <w:rsidRoot w:val="00165F36"/>
    <w:rsid w:val="00005CDE"/>
    <w:rsid w:val="00022B20"/>
    <w:rsid w:val="00030FDD"/>
    <w:rsid w:val="000D4D4B"/>
    <w:rsid w:val="000D554E"/>
    <w:rsid w:val="000F1A40"/>
    <w:rsid w:val="000F5AD3"/>
    <w:rsid w:val="000F7680"/>
    <w:rsid w:val="0010180E"/>
    <w:rsid w:val="00121F32"/>
    <w:rsid w:val="001367DE"/>
    <w:rsid w:val="00140BF5"/>
    <w:rsid w:val="00151A83"/>
    <w:rsid w:val="001621A7"/>
    <w:rsid w:val="00165F36"/>
    <w:rsid w:val="00185534"/>
    <w:rsid w:val="001B63B2"/>
    <w:rsid w:val="001C061F"/>
    <w:rsid w:val="001C0EF5"/>
    <w:rsid w:val="001E7CA1"/>
    <w:rsid w:val="00204631"/>
    <w:rsid w:val="002179BC"/>
    <w:rsid w:val="002272C1"/>
    <w:rsid w:val="00233F90"/>
    <w:rsid w:val="00294541"/>
    <w:rsid w:val="002C2157"/>
    <w:rsid w:val="002E1564"/>
    <w:rsid w:val="002E2869"/>
    <w:rsid w:val="002E3B76"/>
    <w:rsid w:val="00301F41"/>
    <w:rsid w:val="003038F7"/>
    <w:rsid w:val="00316360"/>
    <w:rsid w:val="003340A8"/>
    <w:rsid w:val="0034452B"/>
    <w:rsid w:val="003825F1"/>
    <w:rsid w:val="003A05F5"/>
    <w:rsid w:val="003A191C"/>
    <w:rsid w:val="003B658F"/>
    <w:rsid w:val="003D0AA5"/>
    <w:rsid w:val="003D7811"/>
    <w:rsid w:val="00407BBC"/>
    <w:rsid w:val="00411114"/>
    <w:rsid w:val="00443D98"/>
    <w:rsid w:val="00455C64"/>
    <w:rsid w:val="00457BEA"/>
    <w:rsid w:val="004651A2"/>
    <w:rsid w:val="004730D5"/>
    <w:rsid w:val="00474D8E"/>
    <w:rsid w:val="00477BAD"/>
    <w:rsid w:val="004969CE"/>
    <w:rsid w:val="00496CBD"/>
    <w:rsid w:val="004A0C02"/>
    <w:rsid w:val="004F1D16"/>
    <w:rsid w:val="004F4254"/>
    <w:rsid w:val="005226E9"/>
    <w:rsid w:val="005B4C9D"/>
    <w:rsid w:val="00611C4B"/>
    <w:rsid w:val="0062706F"/>
    <w:rsid w:val="0062784F"/>
    <w:rsid w:val="006401BD"/>
    <w:rsid w:val="006665CF"/>
    <w:rsid w:val="00675CC3"/>
    <w:rsid w:val="006F00D6"/>
    <w:rsid w:val="00733501"/>
    <w:rsid w:val="00755683"/>
    <w:rsid w:val="00765FB5"/>
    <w:rsid w:val="0077334F"/>
    <w:rsid w:val="00777810"/>
    <w:rsid w:val="00784BAB"/>
    <w:rsid w:val="007B0C57"/>
    <w:rsid w:val="007D2D4C"/>
    <w:rsid w:val="00801301"/>
    <w:rsid w:val="00856545"/>
    <w:rsid w:val="0087061D"/>
    <w:rsid w:val="008774EB"/>
    <w:rsid w:val="00895A74"/>
    <w:rsid w:val="008C464F"/>
    <w:rsid w:val="008D3F14"/>
    <w:rsid w:val="008F4359"/>
    <w:rsid w:val="008F486B"/>
    <w:rsid w:val="009874B0"/>
    <w:rsid w:val="009D192D"/>
    <w:rsid w:val="009D7C1D"/>
    <w:rsid w:val="009F28FE"/>
    <w:rsid w:val="00A41BC2"/>
    <w:rsid w:val="00A719A6"/>
    <w:rsid w:val="00A7509E"/>
    <w:rsid w:val="00AA6C94"/>
    <w:rsid w:val="00AB1D91"/>
    <w:rsid w:val="00AB7D6E"/>
    <w:rsid w:val="00AF644A"/>
    <w:rsid w:val="00B127E1"/>
    <w:rsid w:val="00B557DF"/>
    <w:rsid w:val="00B71EF2"/>
    <w:rsid w:val="00BE4985"/>
    <w:rsid w:val="00C144CF"/>
    <w:rsid w:val="00C451FA"/>
    <w:rsid w:val="00C521DB"/>
    <w:rsid w:val="00C6015B"/>
    <w:rsid w:val="00C75D4F"/>
    <w:rsid w:val="00C91511"/>
    <w:rsid w:val="00CC613D"/>
    <w:rsid w:val="00CD119B"/>
    <w:rsid w:val="00CD1BEB"/>
    <w:rsid w:val="00CD4A69"/>
    <w:rsid w:val="00CE0485"/>
    <w:rsid w:val="00D10BEB"/>
    <w:rsid w:val="00D10CA8"/>
    <w:rsid w:val="00D34FB8"/>
    <w:rsid w:val="00D527B0"/>
    <w:rsid w:val="00D53377"/>
    <w:rsid w:val="00D7022C"/>
    <w:rsid w:val="00D75B09"/>
    <w:rsid w:val="00DA0017"/>
    <w:rsid w:val="00DB5E12"/>
    <w:rsid w:val="00DD1124"/>
    <w:rsid w:val="00E05984"/>
    <w:rsid w:val="00E311E6"/>
    <w:rsid w:val="00E32D2A"/>
    <w:rsid w:val="00E5196E"/>
    <w:rsid w:val="00E51CA1"/>
    <w:rsid w:val="00E52DEF"/>
    <w:rsid w:val="00E83779"/>
    <w:rsid w:val="00E86993"/>
    <w:rsid w:val="00EF6B89"/>
    <w:rsid w:val="00F107C2"/>
    <w:rsid w:val="00F141A9"/>
    <w:rsid w:val="00F23B49"/>
    <w:rsid w:val="00F3690E"/>
    <w:rsid w:val="00F76545"/>
    <w:rsid w:val="00F8113B"/>
    <w:rsid w:val="00F86A09"/>
    <w:rsid w:val="00F9480B"/>
    <w:rsid w:val="00F94CFE"/>
    <w:rsid w:val="00FB177F"/>
    <w:rsid w:val="00FC1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A1B564"/>
  <w15:docId w15:val="{46AB18E0-A553-45A9-A280-49CCFE817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D16"/>
  </w:style>
  <w:style w:type="paragraph" w:styleId="Heading1">
    <w:name w:val="heading 1"/>
    <w:aliases w:val="Part"/>
    <w:basedOn w:val="Normal"/>
    <w:next w:val="Heading2"/>
    <w:uiPriority w:val="9"/>
    <w:qFormat/>
    <w:pPr>
      <w:spacing w:after="240"/>
      <w:jc w:val="center"/>
      <w:outlineLvl w:val="0"/>
    </w:pPr>
    <w:rPr>
      <w:rFonts w:ascii="Arial" w:hAnsi="Arial"/>
      <w:b/>
      <w:color w:val="5F5F5F"/>
      <w:sz w:val="32"/>
    </w:rPr>
  </w:style>
  <w:style w:type="paragraph" w:styleId="Heading2">
    <w:name w:val="heading 2"/>
    <w:aliases w:val="Chapter Title"/>
    <w:basedOn w:val="Heading4"/>
    <w:next w:val="Heading4"/>
    <w:uiPriority w:val="9"/>
    <w:unhideWhenUsed/>
    <w:qFormat/>
    <w:rsid w:val="00F20EC1"/>
    <w:pPr>
      <w:outlineLvl w:val="1"/>
    </w:pPr>
  </w:style>
  <w:style w:type="paragraph" w:styleId="Heading3">
    <w:name w:val="heading 3"/>
    <w:aliases w:val="Section"/>
    <w:basedOn w:val="Normal"/>
    <w:next w:val="Heading4"/>
    <w:uiPriority w:val="9"/>
    <w:unhideWhenUsed/>
    <w:qFormat/>
    <w:pPr>
      <w:spacing w:after="240"/>
      <w:jc w:val="center"/>
      <w:outlineLvl w:val="2"/>
    </w:pPr>
    <w:rPr>
      <w:rFonts w:ascii="Arial" w:hAnsi="Arial"/>
      <w:b/>
      <w:color w:val="006600"/>
      <w:sz w:val="32"/>
    </w:rPr>
  </w:style>
  <w:style w:type="paragraph" w:styleId="Heading4">
    <w:name w:val="heading 4"/>
    <w:aliases w:val="Map Title"/>
    <w:basedOn w:val="Normal"/>
    <w:next w:val="Normal"/>
    <w:uiPriority w:val="9"/>
    <w:semiHidden/>
    <w:unhideWhenUsed/>
    <w:qFormat/>
    <w:pPr>
      <w:spacing w:after="240"/>
      <w:outlineLvl w:val="3"/>
    </w:pPr>
    <w:rPr>
      <w:rFonts w:ascii="Arial" w:hAnsi="Arial"/>
      <w:b/>
      <w:color w:val="006600"/>
      <w:sz w:val="32"/>
    </w:rPr>
  </w:style>
  <w:style w:type="paragraph" w:styleId="Heading5">
    <w:name w:val="heading 5"/>
    <w:aliases w:val="Block Label"/>
    <w:basedOn w:val="Normal"/>
    <w:next w:val="Normal"/>
    <w:uiPriority w:val="9"/>
    <w:semiHidden/>
    <w:unhideWhenUsed/>
    <w:qFormat/>
    <w:pPr>
      <w:outlineLvl w:val="4"/>
    </w:pPr>
    <w:rPr>
      <w:rFonts w:ascii="Arial" w:hAnsi="Arial"/>
      <w:b/>
      <w:color w:val="000080"/>
    </w:rPr>
  </w:style>
  <w:style w:type="paragraph" w:styleId="Heading6">
    <w:name w:val="heading 6"/>
    <w:basedOn w:val="Normal"/>
    <w:next w:val="Normal"/>
    <w:uiPriority w:val="9"/>
    <w:semiHidden/>
    <w:unhideWhenUsed/>
    <w:qFormat/>
    <w:pPr>
      <w:spacing w:before="240" w:after="60"/>
      <w:outlineLvl w:val="5"/>
    </w:pPr>
    <w:rPr>
      <w:i/>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pPr>
      <w:tabs>
        <w:tab w:val="center" w:pos="4320"/>
        <w:tab w:val="right" w:pos="864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rPr>
  </w:style>
  <w:style w:type="paragraph" w:customStyle="1" w:styleId="BlockLine">
    <w:name w:val="Block Line"/>
    <w:basedOn w:val="Normal"/>
    <w:next w:val="Normal"/>
    <w:pPr>
      <w:pBdr>
        <w:top w:val="single" w:sz="6" w:space="1" w:color="008080"/>
        <w:between w:val="single" w:sz="6" w:space="1" w:color="auto"/>
      </w:pBdr>
      <w:spacing w:before="240"/>
      <w:ind w:left="1700"/>
    </w:pPr>
  </w:style>
  <w:style w:type="paragraph" w:styleId="BlockText">
    <w:name w:val="Block Text"/>
    <w:basedOn w:val="Normal"/>
  </w:style>
  <w:style w:type="paragraph" w:customStyle="1" w:styleId="BulletText1">
    <w:name w:val="Bullet Text 1"/>
    <w:basedOn w:val="Normal"/>
    <w:pPr>
      <w:numPr>
        <w:numId w:val="2"/>
      </w:numPr>
    </w:pPr>
  </w:style>
  <w:style w:type="paragraph" w:customStyle="1" w:styleId="BulletText2">
    <w:name w:val="Bullet Text 2"/>
    <w:basedOn w:val="BulletText1"/>
    <w:pPr>
      <w:numPr>
        <w:numId w:val="4"/>
      </w:numPr>
      <w:spacing w:before="120"/>
    </w:pPr>
  </w:style>
  <w:style w:type="paragraph" w:customStyle="1" w:styleId="ContinuedOnNextPa">
    <w:name w:val="Continued On Next Pa"/>
    <w:basedOn w:val="Normal"/>
    <w:next w:val="Normal"/>
    <w:pPr>
      <w:pBdr>
        <w:top w:val="single" w:sz="6" w:space="1" w:color="008080"/>
        <w:between w:val="single" w:sz="6" w:space="1" w:color="auto"/>
      </w:pBdr>
      <w:ind w:left="1700"/>
      <w:jc w:val="right"/>
    </w:pPr>
    <w:rPr>
      <w:rFonts w:ascii="Times New Roman" w:hAnsi="Times New Roman"/>
      <w:i/>
      <w:sz w:val="20"/>
    </w:rPr>
  </w:style>
  <w:style w:type="paragraph" w:customStyle="1" w:styleId="ContinuedTableLabe">
    <w:name w:val="Continued Table Labe"/>
    <w:basedOn w:val="Normal"/>
    <w:rPr>
      <w:rFonts w:ascii="Arial" w:hAnsi="Arial"/>
      <w:color w:val="000080"/>
    </w:rPr>
  </w:style>
  <w:style w:type="paragraph" w:customStyle="1" w:styleId="MapTitleContinued">
    <w:name w:val="Map Title. Continued"/>
    <w:basedOn w:val="Normal"/>
    <w:pPr>
      <w:spacing w:after="240"/>
    </w:pPr>
    <w:rPr>
      <w:rFonts w:ascii="Arial" w:hAnsi="Arial"/>
      <w:b/>
      <w:color w:val="006600"/>
      <w:sz w:val="32"/>
    </w:rPr>
  </w:style>
  <w:style w:type="paragraph" w:customStyle="1" w:styleId="MemoLine">
    <w:name w:val="Memo Line"/>
    <w:basedOn w:val="BlockLine"/>
    <w:next w:val="Normal"/>
    <w:pPr>
      <w:ind w:left="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TableText">
    <w:name w:val="Table Text"/>
    <w:basedOn w:val="Normal"/>
    <w:pPr>
      <w:spacing w:before="20" w:after="20"/>
    </w:pPr>
  </w:style>
  <w:style w:type="paragraph" w:customStyle="1" w:styleId="NoteText">
    <w:name w:val="Note Text"/>
    <w:basedOn w:val="BlockText"/>
  </w:style>
  <w:style w:type="paragraph" w:customStyle="1" w:styleId="TableHeaderText">
    <w:name w:val="Table Header Text"/>
    <w:basedOn w:val="TableText"/>
    <w:pPr>
      <w:spacing w:before="60" w:after="60"/>
      <w:jc w:val="center"/>
    </w:pPr>
    <w:rPr>
      <w:b/>
      <w:color w:val="006666"/>
    </w:rPr>
  </w:style>
  <w:style w:type="paragraph" w:customStyle="1" w:styleId="EmbeddedText">
    <w:name w:val="Embedded Text"/>
    <w:basedOn w:val="TableText"/>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rFonts w:ascii="Tahoma" w:hAnsi="Tahoma"/>
      <w:color w:val="3333CC"/>
      <w:sz w:val="22"/>
      <w:u w:val="single"/>
    </w:rPr>
  </w:style>
  <w:style w:type="paragraph" w:customStyle="1" w:styleId="BulletText3">
    <w:name w:val="Bullet Text 3"/>
    <w:basedOn w:val="BulletText2"/>
    <w:pPr>
      <w:numPr>
        <w:numId w:val="0"/>
      </w:numPr>
      <w:tabs>
        <w:tab w:val="num" w:pos="720"/>
      </w:tabs>
      <w:spacing w:before="60"/>
      <w:ind w:left="720" w:hanging="720"/>
    </w:pPr>
  </w:style>
  <w:style w:type="character" w:styleId="FollowedHyperlink">
    <w:name w:val="FollowedHyperlink"/>
    <w:rPr>
      <w:rFonts w:ascii="Tahoma" w:hAnsi="Tahoma"/>
      <w:color w:val="339966"/>
      <w:sz w:val="22"/>
      <w:u w:val="single"/>
    </w:rPr>
  </w:style>
  <w:style w:type="paragraph" w:customStyle="1" w:styleId="BulletPoints">
    <w:name w:val="Bullet Points"/>
    <w:basedOn w:val="Normal"/>
    <w:link w:val="BulletPointsChar"/>
    <w:rsid w:val="00386C7D"/>
    <w:pPr>
      <w:tabs>
        <w:tab w:val="num" w:pos="720"/>
      </w:tabs>
      <w:overflowPunct w:val="0"/>
      <w:autoSpaceDE w:val="0"/>
      <w:autoSpaceDN w:val="0"/>
      <w:adjustRightInd w:val="0"/>
      <w:spacing w:after="240"/>
      <w:ind w:left="720" w:hanging="720"/>
      <w:jc w:val="both"/>
      <w:textAlignment w:val="baseline"/>
    </w:pPr>
    <w:rPr>
      <w:rFonts w:ascii="Arial" w:hAnsi="Arial"/>
      <w:sz w:val="24"/>
      <w:lang w:bidi="ar-DZ"/>
    </w:rPr>
  </w:style>
  <w:style w:type="paragraph" w:styleId="BalloonText">
    <w:name w:val="Balloon Text"/>
    <w:basedOn w:val="Normal"/>
    <w:link w:val="BalloonTextChar"/>
    <w:rsid w:val="0094536D"/>
    <w:rPr>
      <w:sz w:val="16"/>
      <w:szCs w:val="16"/>
    </w:rPr>
  </w:style>
  <w:style w:type="character" w:customStyle="1" w:styleId="BalloonTextChar">
    <w:name w:val="Balloon Text Char"/>
    <w:link w:val="BalloonText"/>
    <w:rsid w:val="0094536D"/>
    <w:rPr>
      <w:rFonts w:ascii="Tahoma" w:hAnsi="Tahoma" w:cs="Tahoma"/>
      <w:sz w:val="16"/>
      <w:szCs w:val="16"/>
      <w:lang w:eastAsia="en-US"/>
    </w:rPr>
  </w:style>
  <w:style w:type="character" w:customStyle="1" w:styleId="HeaderChar">
    <w:name w:val="Header Char"/>
    <w:link w:val="Header"/>
    <w:rsid w:val="004D0DD7"/>
    <w:rPr>
      <w:rFonts w:ascii="Tahoma" w:hAnsi="Tahoma"/>
      <w:sz w:val="22"/>
      <w:lang w:eastAsia="en-US"/>
    </w:rPr>
  </w:style>
  <w:style w:type="paragraph" w:styleId="Revision">
    <w:name w:val="Revision"/>
    <w:hidden/>
    <w:uiPriority w:val="99"/>
    <w:semiHidden/>
    <w:rsid w:val="004D0DD7"/>
  </w:style>
  <w:style w:type="character" w:styleId="CommentReference">
    <w:name w:val="annotation reference"/>
    <w:rsid w:val="004D0DD7"/>
    <w:rPr>
      <w:sz w:val="16"/>
      <w:szCs w:val="16"/>
    </w:rPr>
  </w:style>
  <w:style w:type="paragraph" w:styleId="CommentText">
    <w:name w:val="annotation text"/>
    <w:basedOn w:val="Normal"/>
    <w:link w:val="CommentTextChar"/>
    <w:rsid w:val="004D0DD7"/>
    <w:rPr>
      <w:sz w:val="20"/>
    </w:rPr>
  </w:style>
  <w:style w:type="character" w:customStyle="1" w:styleId="CommentTextChar">
    <w:name w:val="Comment Text Char"/>
    <w:link w:val="CommentText"/>
    <w:rsid w:val="004D0DD7"/>
    <w:rPr>
      <w:rFonts w:ascii="Tahoma" w:hAnsi="Tahoma"/>
      <w:lang w:eastAsia="en-US"/>
    </w:rPr>
  </w:style>
  <w:style w:type="paragraph" w:styleId="CommentSubject">
    <w:name w:val="annotation subject"/>
    <w:basedOn w:val="CommentText"/>
    <w:next w:val="CommentText"/>
    <w:link w:val="CommentSubjectChar"/>
    <w:rsid w:val="004D0DD7"/>
    <w:rPr>
      <w:b/>
      <w:bCs/>
    </w:rPr>
  </w:style>
  <w:style w:type="character" w:customStyle="1" w:styleId="CommentSubjectChar">
    <w:name w:val="Comment Subject Char"/>
    <w:link w:val="CommentSubject"/>
    <w:rsid w:val="004D0DD7"/>
    <w:rPr>
      <w:rFonts w:ascii="Tahoma" w:hAnsi="Tahoma"/>
      <w:b/>
      <w:bCs/>
      <w:lang w:eastAsia="en-US"/>
    </w:rPr>
  </w:style>
  <w:style w:type="table" w:styleId="TableGrid">
    <w:name w:val="Table Grid"/>
    <w:basedOn w:val="TableNormal"/>
    <w:rsid w:val="00985EA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7314"/>
    <w:rPr>
      <w:color w:val="605E5C"/>
      <w:shd w:val="clear" w:color="auto" w:fill="E1DFDD"/>
    </w:rPr>
  </w:style>
  <w:style w:type="character" w:customStyle="1" w:styleId="FooterChar">
    <w:name w:val="Footer Char"/>
    <w:basedOn w:val="DefaultParagraphFont"/>
    <w:link w:val="Footer"/>
    <w:uiPriority w:val="99"/>
    <w:rsid w:val="00F20EC1"/>
    <w:rPr>
      <w:rFonts w:ascii="Tahoma" w:hAnsi="Tahoma"/>
      <w:sz w:val="2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jc w:val="both"/>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jc w:val="both"/>
    </w:pPr>
    <w:tblPr>
      <w:tblStyleRowBandSize w:val="1"/>
      <w:tblStyleColBandSize w:val="1"/>
    </w:tblPr>
  </w:style>
  <w:style w:type="table" w:customStyle="1" w:styleId="a5">
    <w:basedOn w:val="TableNormal"/>
    <w:pPr>
      <w:jc w:val="both"/>
    </w:pPr>
    <w:tblPr>
      <w:tblStyleRowBandSize w:val="1"/>
      <w:tblStyleColBandSize w:val="1"/>
    </w:tblPr>
  </w:style>
  <w:style w:type="table" w:customStyle="1" w:styleId="a6">
    <w:basedOn w:val="TableNormal"/>
    <w:pPr>
      <w:jc w:val="both"/>
    </w:pPr>
    <w:tblPr>
      <w:tblStyleRowBandSize w:val="1"/>
      <w:tblStyleColBandSize w:val="1"/>
    </w:tblPr>
  </w:style>
  <w:style w:type="paragraph" w:styleId="ListParagraph">
    <w:name w:val="List Paragraph"/>
    <w:basedOn w:val="Normal"/>
    <w:uiPriority w:val="34"/>
    <w:qFormat/>
    <w:rsid w:val="002E1564"/>
    <w:pPr>
      <w:ind w:left="720"/>
      <w:contextualSpacing/>
    </w:pPr>
  </w:style>
  <w:style w:type="paragraph" w:styleId="Caption">
    <w:name w:val="caption"/>
    <w:basedOn w:val="Normal"/>
    <w:next w:val="Normal"/>
    <w:uiPriority w:val="35"/>
    <w:unhideWhenUsed/>
    <w:qFormat/>
    <w:rsid w:val="007B0C57"/>
    <w:pPr>
      <w:spacing w:after="200"/>
    </w:pPr>
    <w:rPr>
      <w:i/>
      <w:iCs/>
      <w:color w:val="373545" w:themeColor="text2"/>
      <w:sz w:val="18"/>
      <w:szCs w:val="18"/>
    </w:rPr>
  </w:style>
  <w:style w:type="paragraph" w:customStyle="1" w:styleId="EndNoteBibliographyTitle">
    <w:name w:val="EndNote Bibliography Title"/>
    <w:basedOn w:val="Normal"/>
    <w:link w:val="EndNoteBibliographyTitleChar"/>
    <w:rsid w:val="009874B0"/>
    <w:pPr>
      <w:jc w:val="center"/>
    </w:pPr>
    <w:rPr>
      <w:rFonts w:ascii="Arial" w:hAnsi="Arial" w:cs="Arial"/>
      <w:noProof/>
      <w:sz w:val="32"/>
      <w:lang w:val="en-US"/>
    </w:rPr>
  </w:style>
  <w:style w:type="character" w:customStyle="1" w:styleId="BulletPointsChar">
    <w:name w:val="Bullet Points Char"/>
    <w:basedOn w:val="DefaultParagraphFont"/>
    <w:link w:val="BulletPoints"/>
    <w:rsid w:val="009874B0"/>
    <w:rPr>
      <w:rFonts w:ascii="Arial" w:hAnsi="Arial"/>
      <w:sz w:val="24"/>
      <w:lang w:bidi="ar-DZ"/>
    </w:rPr>
  </w:style>
  <w:style w:type="character" w:customStyle="1" w:styleId="EndNoteBibliographyTitleChar">
    <w:name w:val="EndNote Bibliography Title Char"/>
    <w:basedOn w:val="BulletPointsChar"/>
    <w:link w:val="EndNoteBibliographyTitle"/>
    <w:rsid w:val="009874B0"/>
    <w:rPr>
      <w:rFonts w:ascii="Arial" w:hAnsi="Arial" w:cs="Arial"/>
      <w:noProof/>
      <w:sz w:val="32"/>
      <w:lang w:val="en-US" w:bidi="ar-DZ"/>
    </w:rPr>
  </w:style>
  <w:style w:type="paragraph" w:customStyle="1" w:styleId="EndNoteBibliography">
    <w:name w:val="EndNote Bibliography"/>
    <w:basedOn w:val="Normal"/>
    <w:link w:val="EndNoteBibliographyChar"/>
    <w:rsid w:val="009874B0"/>
    <w:rPr>
      <w:rFonts w:ascii="Arial" w:hAnsi="Arial" w:cs="Arial"/>
      <w:noProof/>
      <w:sz w:val="32"/>
      <w:lang w:val="en-US"/>
    </w:rPr>
  </w:style>
  <w:style w:type="character" w:customStyle="1" w:styleId="EndNoteBibliographyChar">
    <w:name w:val="EndNote Bibliography Char"/>
    <w:basedOn w:val="BulletPointsChar"/>
    <w:link w:val="EndNoteBibliography"/>
    <w:rsid w:val="009874B0"/>
    <w:rPr>
      <w:rFonts w:ascii="Arial" w:hAnsi="Arial" w:cs="Arial"/>
      <w:noProof/>
      <w:sz w:val="32"/>
      <w:lang w:val="en-US" w:bidi="ar-DZ"/>
    </w:rPr>
  </w:style>
  <w:style w:type="paragraph" w:styleId="NormalWeb">
    <w:name w:val="Normal (Web)"/>
    <w:basedOn w:val="Normal"/>
    <w:uiPriority w:val="99"/>
    <w:unhideWhenUsed/>
    <w:rsid w:val="00474D8E"/>
    <w:pPr>
      <w:spacing w:before="100" w:beforeAutospacing="1" w:after="100" w:afterAutospacing="1"/>
    </w:pPr>
    <w:rPr>
      <w:rFonts w:ascii="Times New Roman" w:eastAsia="Times New Roman" w:hAnsi="Times New Roman" w:cs="Times New Roman"/>
      <w:sz w:val="24"/>
      <w:szCs w:val="24"/>
      <w:lang w:val="en-FJ" w:eastAsia="en-FJ"/>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496837">
      <w:bodyDiv w:val="1"/>
      <w:marLeft w:val="0"/>
      <w:marRight w:val="0"/>
      <w:marTop w:val="0"/>
      <w:marBottom w:val="0"/>
      <w:divBdr>
        <w:top w:val="none" w:sz="0" w:space="0" w:color="auto"/>
        <w:left w:val="none" w:sz="0" w:space="0" w:color="auto"/>
        <w:bottom w:val="none" w:sz="0" w:space="0" w:color="auto"/>
        <w:right w:val="none" w:sz="0" w:space="0" w:color="auto"/>
      </w:divBdr>
    </w:div>
    <w:div w:id="17450333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00052841630426"/>
          <c:y val="4.0797397844425536E-2"/>
          <c:w val="0.85619880439480289"/>
          <c:h val="0.61329849151840499"/>
        </c:manualLayout>
      </c:layout>
      <c:barChart>
        <c:barDir val="col"/>
        <c:grouping val="clustered"/>
        <c:varyColors val="0"/>
        <c:ser>
          <c:idx val="0"/>
          <c:order val="0"/>
          <c:tx>
            <c:strRef>
              <c:f>Lycopene!$C$3</c:f>
              <c:strCache>
                <c:ptCount val="1"/>
                <c:pt idx="0">
                  <c:v>Half-ripe</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Lycopene!$B$4:$B$13</c:f>
              <c:strCache>
                <c:ptCount val="10"/>
                <c:pt idx="0">
                  <c:v>Control</c:v>
                </c:pt>
                <c:pt idx="1">
                  <c:v>Subsurface - 24 hrs</c:v>
                </c:pt>
                <c:pt idx="2">
                  <c:v>Subsurface - 48 hrs</c:v>
                </c:pt>
                <c:pt idx="3">
                  <c:v>Subsurface - 72 hrs</c:v>
                </c:pt>
                <c:pt idx="4">
                  <c:v>Ground level – 24 hrs</c:v>
                </c:pt>
                <c:pt idx="5">
                  <c:v>Ground level – 48 hrs</c:v>
                </c:pt>
                <c:pt idx="6">
                  <c:v>Ground level – 72 hrs</c:v>
                </c:pt>
                <c:pt idx="7">
                  <c:v>Submergence – 24 hrs</c:v>
                </c:pt>
                <c:pt idx="8">
                  <c:v>Submergence – 48 hrs</c:v>
                </c:pt>
                <c:pt idx="9">
                  <c:v>Submergence – 72 hrs</c:v>
                </c:pt>
              </c:strCache>
            </c:strRef>
          </c:cat>
          <c:val>
            <c:numRef>
              <c:f>Lycopene!$C$4:$C$13</c:f>
              <c:numCache>
                <c:formatCode>General</c:formatCode>
                <c:ptCount val="10"/>
                <c:pt idx="0">
                  <c:v>9.5</c:v>
                </c:pt>
                <c:pt idx="1">
                  <c:v>21.48</c:v>
                </c:pt>
                <c:pt idx="2">
                  <c:v>37.700000000000003</c:v>
                </c:pt>
                <c:pt idx="3">
                  <c:v>46</c:v>
                </c:pt>
                <c:pt idx="4">
                  <c:v>51</c:v>
                </c:pt>
                <c:pt idx="5">
                  <c:v>21.48</c:v>
                </c:pt>
                <c:pt idx="6">
                  <c:v>50.29</c:v>
                </c:pt>
                <c:pt idx="7">
                  <c:v>39.299999999999997</c:v>
                </c:pt>
                <c:pt idx="8">
                  <c:v>52.4</c:v>
                </c:pt>
                <c:pt idx="9">
                  <c:v>21.5</c:v>
                </c:pt>
              </c:numCache>
            </c:numRef>
          </c:val>
          <c:extLst>
            <c:ext xmlns:c16="http://schemas.microsoft.com/office/drawing/2014/chart" uri="{C3380CC4-5D6E-409C-BE32-E72D297353CC}">
              <c16:uniqueId val="{00000000-7E0A-4289-B1DE-948DC737F261}"/>
            </c:ext>
          </c:extLst>
        </c:ser>
        <c:ser>
          <c:idx val="1"/>
          <c:order val="1"/>
          <c:tx>
            <c:strRef>
              <c:f>Lycopene!$D$3</c:f>
              <c:strCache>
                <c:ptCount val="1"/>
                <c:pt idx="0">
                  <c:v>Full-ripe</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Lycopene!$B$4:$B$13</c:f>
              <c:strCache>
                <c:ptCount val="10"/>
                <c:pt idx="0">
                  <c:v>Control</c:v>
                </c:pt>
                <c:pt idx="1">
                  <c:v>Subsurface - 24 hrs</c:v>
                </c:pt>
                <c:pt idx="2">
                  <c:v>Subsurface - 48 hrs</c:v>
                </c:pt>
                <c:pt idx="3">
                  <c:v>Subsurface - 72 hrs</c:v>
                </c:pt>
                <c:pt idx="4">
                  <c:v>Ground level – 24 hrs</c:v>
                </c:pt>
                <c:pt idx="5">
                  <c:v>Ground level – 48 hrs</c:v>
                </c:pt>
                <c:pt idx="6">
                  <c:v>Ground level – 72 hrs</c:v>
                </c:pt>
                <c:pt idx="7">
                  <c:v>Submergence – 24 hrs</c:v>
                </c:pt>
                <c:pt idx="8">
                  <c:v>Submergence – 48 hrs</c:v>
                </c:pt>
                <c:pt idx="9">
                  <c:v>Submergence – 72 hrs</c:v>
                </c:pt>
              </c:strCache>
            </c:strRef>
          </c:cat>
          <c:val>
            <c:numRef>
              <c:f>Lycopene!$D$4:$D$13</c:f>
              <c:numCache>
                <c:formatCode>General</c:formatCode>
                <c:ptCount val="10"/>
                <c:pt idx="0">
                  <c:v>41.72</c:v>
                </c:pt>
                <c:pt idx="1">
                  <c:v>20.22</c:v>
                </c:pt>
                <c:pt idx="2">
                  <c:v>36.75</c:v>
                </c:pt>
                <c:pt idx="3">
                  <c:v>73</c:v>
                </c:pt>
                <c:pt idx="4">
                  <c:v>67</c:v>
                </c:pt>
                <c:pt idx="5">
                  <c:v>70.260000000000005</c:v>
                </c:pt>
                <c:pt idx="6">
                  <c:v>72.11</c:v>
                </c:pt>
                <c:pt idx="7">
                  <c:v>70.7</c:v>
                </c:pt>
                <c:pt idx="8">
                  <c:v>62.63</c:v>
                </c:pt>
                <c:pt idx="9">
                  <c:v>19.62</c:v>
                </c:pt>
              </c:numCache>
            </c:numRef>
          </c:val>
          <c:extLst>
            <c:ext xmlns:c16="http://schemas.microsoft.com/office/drawing/2014/chart" uri="{C3380CC4-5D6E-409C-BE32-E72D297353CC}">
              <c16:uniqueId val="{00000001-7E0A-4289-B1DE-948DC737F261}"/>
            </c:ext>
          </c:extLst>
        </c:ser>
        <c:dLbls>
          <c:showLegendKey val="0"/>
          <c:showVal val="0"/>
          <c:showCatName val="0"/>
          <c:showSerName val="0"/>
          <c:showPercent val="0"/>
          <c:showBubbleSize val="0"/>
        </c:dLbls>
        <c:gapWidth val="219"/>
        <c:overlap val="-27"/>
        <c:axId val="1722434063"/>
        <c:axId val="1722434543"/>
      </c:barChart>
      <c:catAx>
        <c:axId val="17224340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Times New Roman" panose="02020603050405020304" pitchFamily="18" charset="0"/>
                  </a:defRPr>
                </a:pPr>
                <a:r>
                  <a:rPr lang="en-US">
                    <a:solidFill>
                      <a:schemeClr val="tx1"/>
                    </a:solidFill>
                    <a:latin typeface="+mn-lt"/>
                    <a:cs typeface="Times New Roman" panose="02020603050405020304" pitchFamily="18" charset="0"/>
                  </a:rPr>
                  <a:t>Waterlogging depths</a:t>
                </a:r>
                <a:r>
                  <a:rPr lang="en-US" baseline="0">
                    <a:solidFill>
                      <a:schemeClr val="tx1"/>
                    </a:solidFill>
                    <a:latin typeface="+mn-lt"/>
                    <a:cs typeface="Times New Roman" panose="02020603050405020304" pitchFamily="18" charset="0"/>
                  </a:rPr>
                  <a:t> and duration</a:t>
                </a:r>
                <a:endParaRPr lang="en-US">
                  <a:solidFill>
                    <a:schemeClr val="tx1"/>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en-FJ"/>
          </a:p>
        </c:txPr>
        <c:crossAx val="1722434543"/>
        <c:crosses val="autoZero"/>
        <c:auto val="1"/>
        <c:lblAlgn val="ctr"/>
        <c:lblOffset val="100"/>
        <c:noMultiLvlLbl val="0"/>
      </c:catAx>
      <c:valAx>
        <c:axId val="17224345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r>
                  <a:rPr lang="en-US">
                    <a:solidFill>
                      <a:sysClr val="windowText" lastClr="000000"/>
                    </a:solidFill>
                    <a:latin typeface="+mn-lt"/>
                    <a:cs typeface="Times New Roman" panose="02020603050405020304" pitchFamily="18" charset="0"/>
                  </a:rPr>
                  <a:t>Lycopene</a:t>
                </a:r>
                <a:r>
                  <a:rPr lang="en-US" baseline="0">
                    <a:solidFill>
                      <a:sysClr val="windowText" lastClr="000000"/>
                    </a:solidFill>
                    <a:latin typeface="+mn-lt"/>
                    <a:cs typeface="Times New Roman" panose="02020603050405020304" pitchFamily="18" charset="0"/>
                  </a:rPr>
                  <a:t> content (mg/Kg)</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en-FJ"/>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en-FJ"/>
          </a:p>
        </c:txPr>
        <c:crossAx val="1722434063"/>
        <c:crosses val="autoZero"/>
        <c:crossBetween val="between"/>
      </c:valAx>
      <c:spPr>
        <a:noFill/>
        <a:ln>
          <a:noFill/>
        </a:ln>
        <a:effectLst/>
      </c:spPr>
    </c:plotArea>
    <c:legend>
      <c:legendPos val="b"/>
      <c:layout>
        <c:manualLayout>
          <c:xMode val="edge"/>
          <c:yMode val="edge"/>
          <c:x val="0.20056554251473283"/>
          <c:y val="3.7579999178664295E-2"/>
          <c:w val="0.43011454019533935"/>
          <c:h val="9.499081401765392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FJ"/>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FJ"/>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73545"/>
      </a:dk2>
      <a:lt2>
        <a:srgbClr val="726772"/>
      </a:lt2>
      <a:accent1>
        <a:srgbClr val="AD84C6"/>
      </a:accent1>
      <a:accent2>
        <a:srgbClr val="8784C7"/>
      </a:accent2>
      <a:accent3>
        <a:srgbClr val="5D739A"/>
      </a:accent3>
      <a:accent4>
        <a:srgbClr val="6997AF"/>
      </a:accent4>
      <a:accent5>
        <a:srgbClr val="84ACB6"/>
      </a:accent5>
      <a:accent6>
        <a:srgbClr val="6F8183"/>
      </a:accent6>
      <a:hlink>
        <a:srgbClr val="002060"/>
      </a:hlink>
      <a:folHlink>
        <a:srgbClr val="514DA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vAFwTsdXuF/JXKOsAqTuvdPWQA==">CgMxLjAaHwoBMBIaChgICVIUChJ0YWJsZS40dXhwZXVoeTRhZmcyDmgubTN4dTNpNWsxbTFjMg5oLjQ4OWplMzZpdGNncDIOaC44MHo5aGsxNzNvemsyCWguM3JkY3JqbjIJaC4zNW5rdW4yMgloLjQ0c2luaW84AHIhMU9VbGdOeW4yalpvTF8tVWo3QmV6NVJBMzgxVWFkVDU1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DEA9907-FA8A-43F5-BDE5-DAD6F5422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3488</Words>
  <Characters>21245</Characters>
  <Application>Microsoft Office Word</Application>
  <DocSecurity>0</DocSecurity>
  <Lines>559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Adimaitoga Rabuku</dc:creator>
  <cp:lastModifiedBy>Adimaitoga T. Rabuku</cp:lastModifiedBy>
  <cp:revision>15</cp:revision>
  <cp:lastPrinted>2025-02-11T00:17:00Z</cp:lastPrinted>
  <dcterms:created xsi:type="dcterms:W3CDTF">2025-02-09T23:43:00Z</dcterms:created>
  <dcterms:modified xsi:type="dcterms:W3CDTF">2025-02-11T09:44:00Z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0x010100919E3125AE2E3A4A988B9ED6352229A3</vt:lpwstr>
  </property>
  <property fmtid="{D5CDD505-2E9C-101B-9397-08002B2CF9AE}" pid="3" name="_dlc_policyId">
    <vt:lpwstr>0x01010077AA9D1CFFA240DC80DAD99CA5F5CD00|-1830060468</vt:lpwstr>
  </property>
  <property fmtid="{D5CDD505-2E9C-101B-9397-08002B2CF9AE}" pid="4" name="ItemRetentionFormula">
    <vt:lpwstr>ItemRetentionFormula</vt:lpwstr>
  </property>
  <property fmtid="{D5CDD505-2E9C-101B-9397-08002B2CF9AE}" pid="5" name="_dlc_DocIdItemGuid">
    <vt:lpwstr>5ad16565-20e7-493f-a51f-c575c89cbaeb</vt:lpwstr>
  </property>
  <property fmtid="{D5CDD505-2E9C-101B-9397-08002B2CF9AE}" pid="6" name="Order">
    <vt:lpwstr>473100</vt:lpwstr>
  </property>
  <property fmtid="{D5CDD505-2E9C-101B-9397-08002B2CF9AE}" pid="7" name="Topic">
    <vt:lpwstr>904;#Administration|dbd2b400-2f41-44be-9ffb-5d674245dc6e</vt:lpwstr>
  </property>
  <property fmtid="{D5CDD505-2E9C-101B-9397-08002B2CF9AE}" pid="8" name="FinancialYear">
    <vt:lpwstr>FinancialYear</vt:lpwstr>
  </property>
  <property fmtid="{D5CDD505-2E9C-101B-9397-08002B2CF9AE}" pid="9" name="SecurityClassification">
    <vt:lpwstr>344;#UNCLASSIFIED|738a72fd-0042-476f-991b-551c05ade48c</vt:lpwstr>
  </property>
  <property fmtid="{D5CDD505-2E9C-101B-9397-08002B2CF9AE}" pid="10" name="Programme">
    <vt:lpwstr>2240;#Strategic Evaluation and Research|5a900277-3cfe-4758-969b-6dcd1f2e2940</vt:lpwstr>
  </property>
  <property fmtid="{D5CDD505-2E9C-101B-9397-08002B2CF9AE}" pid="11" name="CoveringClassification">
    <vt:lpwstr>CoveringClassification</vt:lpwstr>
  </property>
  <property fmtid="{D5CDD505-2E9C-101B-9397-08002B2CF9AE}" pid="12" name="SecurityCaveat">
    <vt:lpwstr>SecurityCaveat</vt:lpwstr>
  </property>
  <property fmtid="{D5CDD505-2E9C-101B-9397-08002B2CF9AE}" pid="13" name="_dlc_LastRun">
    <vt:lpwstr>08/31/2019 23:28:34</vt:lpwstr>
  </property>
  <property fmtid="{D5CDD505-2E9C-101B-9397-08002B2CF9AE}" pid="14" name="_dlc_ItemStageId">
    <vt:lpwstr>1</vt:lpwstr>
  </property>
  <property fmtid="{D5CDD505-2E9C-101B-9397-08002B2CF9AE}" pid="15" name="GrammarlyDocumentId">
    <vt:lpwstr>1650c809785641c4348fad73f9bed9dd93f977bd7ef11c279579d9b7dea66773</vt:lpwstr>
  </property>
  <property fmtid="{D5CDD505-2E9C-101B-9397-08002B2CF9AE}" pid="16" name="MSIP_Label_bd9e4d68-54d0-40a5-8c9a-85a36c87352c_Enabled">
    <vt:lpwstr>true</vt:lpwstr>
  </property>
  <property fmtid="{D5CDD505-2E9C-101B-9397-08002B2CF9AE}" pid="17" name="MSIP_Label_bd9e4d68-54d0-40a5-8c9a-85a36c87352c_SetDate">
    <vt:lpwstr>2024-05-03T04:33:00Z</vt:lpwstr>
  </property>
  <property fmtid="{D5CDD505-2E9C-101B-9397-08002B2CF9AE}" pid="18" name="MSIP_Label_bd9e4d68-54d0-40a5-8c9a-85a36c87352c_Method">
    <vt:lpwstr>Standard</vt:lpwstr>
  </property>
  <property fmtid="{D5CDD505-2E9C-101B-9397-08002B2CF9AE}" pid="19" name="MSIP_Label_bd9e4d68-54d0-40a5-8c9a-85a36c87352c_Name">
    <vt:lpwstr>Unclassified</vt:lpwstr>
  </property>
  <property fmtid="{D5CDD505-2E9C-101B-9397-08002B2CF9AE}" pid="20" name="MSIP_Label_bd9e4d68-54d0-40a5-8c9a-85a36c87352c_SiteId">
    <vt:lpwstr>388728e1-bbd0-4378-98dc-f8682e644300</vt:lpwstr>
  </property>
  <property fmtid="{D5CDD505-2E9C-101B-9397-08002B2CF9AE}" pid="21" name="MSIP_Label_bd9e4d68-54d0-40a5-8c9a-85a36c87352c_ActionId">
    <vt:lpwstr>18f909c1-9e61-45bb-843a-94a63e2ec0b5</vt:lpwstr>
  </property>
  <property fmtid="{D5CDD505-2E9C-101B-9397-08002B2CF9AE}" pid="22" name="MSIP_Label_bd9e4d68-54d0-40a5-8c9a-85a36c87352c_ContentBits">
    <vt:lpwstr>0</vt:lpwstr>
  </property>
</Properties>
</file>