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CD007" w14:textId="77777777" w:rsidR="00165F36" w:rsidRDefault="00165F36" w:rsidP="00C13D81">
      <w:pPr>
        <w:jc w:val="both"/>
        <w:sectPr w:rsidR="00165F36">
          <w:headerReference w:type="even" r:id="rId8"/>
          <w:headerReference w:type="default" r:id="rId9"/>
          <w:footerReference w:type="even" r:id="rId10"/>
          <w:footerReference w:type="default" r:id="rId11"/>
          <w:headerReference w:type="first" r:id="rId12"/>
          <w:footerReference w:type="first" r:id="rId13"/>
          <w:pgSz w:w="11907" w:h="16840"/>
          <w:pgMar w:top="238" w:right="1418" w:bottom="1021" w:left="1418" w:header="0" w:footer="0" w:gutter="0"/>
          <w:pgNumType w:start="1"/>
          <w:cols w:space="720"/>
          <w:titlePg/>
        </w:sectPr>
      </w:pPr>
    </w:p>
    <w:p w14:paraId="58258CB6" w14:textId="7591D5FE" w:rsidR="00165F36" w:rsidRPr="000930CE" w:rsidRDefault="000930CE" w:rsidP="000930CE">
      <w:pPr>
        <w:pStyle w:val="ListParagraph"/>
        <w:numPr>
          <w:ilvl w:val="0"/>
          <w:numId w:val="12"/>
        </w:numPr>
        <w:jc w:val="both"/>
        <w:rPr>
          <w:rFonts w:ascii="Calibri" w:eastAsia="Calibri" w:hAnsi="Calibri" w:cs="Calibri"/>
          <w:color w:val="006600"/>
          <w:sz w:val="26"/>
          <w:szCs w:val="26"/>
        </w:rPr>
      </w:pPr>
      <w:r w:rsidRPr="000930CE">
        <w:rPr>
          <w:rFonts w:ascii="Calibri" w:eastAsia="Calibri" w:hAnsi="Calibri" w:cs="Calibri"/>
          <w:color w:val="006600"/>
          <w:sz w:val="26"/>
          <w:szCs w:val="26"/>
        </w:rPr>
        <w:t xml:space="preserve">Movono, </w:t>
      </w:r>
      <w:r>
        <w:rPr>
          <w:rFonts w:ascii="Calibri" w:eastAsia="Calibri" w:hAnsi="Calibri" w:cs="Calibri"/>
          <w:color w:val="006600"/>
          <w:sz w:val="26"/>
          <w:szCs w:val="26"/>
        </w:rPr>
        <w:t xml:space="preserve">E. </w:t>
      </w:r>
      <w:r w:rsidRPr="000930CE">
        <w:rPr>
          <w:rFonts w:ascii="Calibri" w:eastAsia="Calibri" w:hAnsi="Calibri" w:cs="Calibri"/>
          <w:color w:val="006600"/>
          <w:sz w:val="26"/>
          <w:szCs w:val="26"/>
        </w:rPr>
        <w:t xml:space="preserve">Draunidalo, </w:t>
      </w:r>
      <w:r>
        <w:rPr>
          <w:rFonts w:ascii="Calibri" w:eastAsia="Calibri" w:hAnsi="Calibri" w:cs="Calibri"/>
          <w:color w:val="006600"/>
          <w:sz w:val="26"/>
          <w:szCs w:val="26"/>
        </w:rPr>
        <w:t xml:space="preserve">K. </w:t>
      </w:r>
      <w:r w:rsidRPr="000930CE">
        <w:rPr>
          <w:rFonts w:ascii="Calibri" w:eastAsia="Calibri" w:hAnsi="Calibri" w:cs="Calibri"/>
          <w:color w:val="006600"/>
          <w:sz w:val="26"/>
          <w:szCs w:val="26"/>
        </w:rPr>
        <w:t>Sharma</w:t>
      </w:r>
      <w:r>
        <w:rPr>
          <w:rFonts w:ascii="Calibri" w:eastAsia="Calibri" w:hAnsi="Calibri" w:cs="Calibri"/>
          <w:color w:val="006600"/>
          <w:sz w:val="26"/>
          <w:szCs w:val="26"/>
        </w:rPr>
        <w:t xml:space="preserve"> &amp; M. Stephens </w:t>
      </w:r>
      <w:r w:rsidR="005226E9" w:rsidRPr="000930CE">
        <w:rPr>
          <w:rFonts w:ascii="Calibri" w:eastAsia="Calibri" w:hAnsi="Calibri" w:cs="Calibri"/>
          <w:color w:val="006600"/>
          <w:sz w:val="26"/>
          <w:szCs w:val="26"/>
        </w:rPr>
        <w:t xml:space="preserve">| </w:t>
      </w:r>
      <w:r>
        <w:rPr>
          <w:rFonts w:ascii="Calibri" w:eastAsia="Calibri" w:hAnsi="Calibri" w:cs="Calibri"/>
          <w:color w:val="006600"/>
          <w:sz w:val="26"/>
          <w:szCs w:val="26"/>
        </w:rPr>
        <w:t>Discipline of Tourism and Hospitality Management</w:t>
      </w:r>
      <w:r w:rsidR="005226E9" w:rsidRPr="000930CE">
        <w:rPr>
          <w:rFonts w:ascii="Calibri" w:eastAsia="Calibri" w:hAnsi="Calibri" w:cs="Calibri"/>
          <w:color w:val="006600"/>
          <w:sz w:val="26"/>
          <w:szCs w:val="26"/>
        </w:rPr>
        <w:t xml:space="preserve"> | </w:t>
      </w:r>
      <w:r>
        <w:rPr>
          <w:rFonts w:ascii="Calibri" w:eastAsia="Calibri" w:hAnsi="Calibri" w:cs="Calibri"/>
          <w:color w:val="006600"/>
          <w:sz w:val="26"/>
          <w:szCs w:val="26"/>
        </w:rPr>
        <w:t>University of the South Pacific</w:t>
      </w:r>
      <w:r w:rsidR="005226E9" w:rsidRPr="000930CE">
        <w:rPr>
          <w:rFonts w:ascii="Calibri" w:eastAsia="Calibri" w:hAnsi="Calibri" w:cs="Calibri"/>
          <w:color w:val="006600"/>
          <w:sz w:val="26"/>
          <w:szCs w:val="26"/>
        </w:rPr>
        <w:t xml:space="preserve"> </w:t>
      </w:r>
    </w:p>
    <w:p w14:paraId="3393F8BC" w14:textId="77777777" w:rsidR="00165F36" w:rsidRDefault="00165F36" w:rsidP="00C13D81">
      <w:pPr>
        <w:ind w:firstLine="720"/>
        <w:jc w:val="both"/>
        <w:rPr>
          <w:rFonts w:ascii="Calibri" w:eastAsia="Calibri" w:hAnsi="Calibri" w:cs="Calibri"/>
          <w:sz w:val="26"/>
          <w:szCs w:val="26"/>
        </w:rPr>
      </w:pPr>
    </w:p>
    <w:sdt>
      <w:sdtPr>
        <w:rPr>
          <w:rFonts w:ascii="Calibri" w:eastAsia="Calibri" w:hAnsi="Calibri" w:cs="Calibri"/>
          <w:b/>
          <w:sz w:val="28"/>
          <w:szCs w:val="28"/>
          <w:lang w:val="en-AU"/>
        </w:rPr>
        <w:alias w:val="Research Title"/>
        <w:tag w:val="Research Title"/>
        <w:id w:val="-743172098"/>
        <w:placeholder>
          <w:docPart w:val="E82035D60CD64E5AB1FC3CDDA1D33666"/>
        </w:placeholder>
      </w:sdtPr>
      <w:sdtContent>
        <w:sdt>
          <w:sdtPr>
            <w:rPr>
              <w:rFonts w:ascii="Calibri" w:eastAsia="Calibri" w:hAnsi="Calibri" w:cs="Calibri"/>
              <w:b/>
              <w:sz w:val="28"/>
              <w:szCs w:val="28"/>
              <w:lang w:val="en-AU"/>
            </w:rPr>
            <w:alias w:val="Research Title"/>
            <w:tag w:val="Research Title"/>
            <w:id w:val="406648244"/>
            <w:placeholder>
              <w:docPart w:val="1C645E3BC1CC43CE836BC2AD96068DD1"/>
            </w:placeholder>
          </w:sdtPr>
          <w:sdtContent>
            <w:p w14:paraId="44CCF0F0" w14:textId="5592A5EA" w:rsidR="000930CE" w:rsidRDefault="000930CE" w:rsidP="00C13D81">
              <w:pPr>
                <w:jc w:val="both"/>
                <w:rPr>
                  <w:rFonts w:ascii="Calibri" w:eastAsia="Calibri" w:hAnsi="Calibri" w:cs="Calibri"/>
                  <w:b/>
                  <w:sz w:val="28"/>
                  <w:szCs w:val="28"/>
                  <w:lang w:val="en-AU"/>
                </w:rPr>
              </w:pPr>
              <w:r w:rsidRPr="000930CE">
                <w:rPr>
                  <w:rFonts w:ascii="Calibri" w:eastAsia="Calibri" w:hAnsi="Calibri" w:cs="Calibri"/>
                  <w:b/>
                  <w:sz w:val="28"/>
                  <w:szCs w:val="28"/>
                  <w:lang w:val="en-AU"/>
                </w:rPr>
                <w:t>Strengthening Fiji’s Community Based Tourism through Culturally Grounded &amp; Integrated Hospitality Practice</w:t>
              </w:r>
              <w:r>
                <w:rPr>
                  <w:rFonts w:ascii="Calibri" w:eastAsia="Calibri" w:hAnsi="Calibri" w:cs="Calibri"/>
                  <w:b/>
                  <w:sz w:val="28"/>
                  <w:szCs w:val="28"/>
                  <w:lang w:val="en-AU"/>
                </w:rPr>
                <w:t>s, Natalei Experience, Nataleira, Fiji</w:t>
              </w:r>
            </w:p>
          </w:sdtContent>
        </w:sdt>
      </w:sdtContent>
    </w:sdt>
    <w:p w14:paraId="550077F0" w14:textId="77777777" w:rsidR="00165F36" w:rsidRDefault="00165F36" w:rsidP="00C13D81">
      <w:pPr>
        <w:ind w:left="2160"/>
        <w:jc w:val="both"/>
        <w:rPr>
          <w:rFonts w:ascii="Calibri" w:eastAsia="Calibri" w:hAnsi="Calibri" w:cs="Calibri"/>
          <w:b/>
        </w:rPr>
      </w:pPr>
    </w:p>
    <w:p w14:paraId="0E0616AB" w14:textId="77777777" w:rsidR="00165F36" w:rsidRDefault="00165F36" w:rsidP="00C13D81">
      <w:pPr>
        <w:ind w:firstLine="720"/>
        <w:jc w:val="both"/>
        <w:rPr>
          <w:rFonts w:ascii="Calibri" w:eastAsia="Calibri" w:hAnsi="Calibri" w:cs="Calibri"/>
          <w:b/>
        </w:rPr>
      </w:pPr>
    </w:p>
    <w:tbl>
      <w:tblPr>
        <w:tblStyle w:val="a"/>
        <w:tblW w:w="10515"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5"/>
      </w:tblGrid>
      <w:tr w:rsidR="00165F36" w14:paraId="5BB267CF" w14:textId="77777777">
        <w:trPr>
          <w:trHeight w:val="2506"/>
        </w:trPr>
        <w:tc>
          <w:tcPr>
            <w:tcW w:w="10515" w:type="dxa"/>
            <w:shd w:val="clear" w:color="auto" w:fill="D9D9D9"/>
          </w:tcPr>
          <w:p w14:paraId="768D6523" w14:textId="77777777" w:rsidR="00C13D81" w:rsidRDefault="005226E9" w:rsidP="00C13D81">
            <w:pPr>
              <w:rPr>
                <w:rFonts w:asciiTheme="minorHAnsi" w:hAnsiTheme="minorHAnsi" w:cstheme="minorHAnsi"/>
                <w:lang w:val="en-US"/>
              </w:rPr>
            </w:pPr>
            <w:r w:rsidRPr="00383BCD">
              <w:rPr>
                <w:rFonts w:asciiTheme="minorHAnsi" w:hAnsiTheme="minorHAnsi" w:cstheme="minorHAnsi"/>
                <w:b/>
                <w:color w:val="864EA8" w:themeColor="accent1" w:themeShade="BF"/>
                <w:sz w:val="24"/>
                <w:szCs w:val="24"/>
              </w:rPr>
              <w:t>Summary</w:t>
            </w:r>
            <w:r w:rsidRPr="00A62056">
              <w:rPr>
                <w:rFonts w:asciiTheme="minorHAnsi" w:hAnsiTheme="minorHAnsi" w:cstheme="minorHAnsi"/>
                <w:b/>
                <w:color w:val="864EA8" w:themeColor="accent1" w:themeShade="BF"/>
                <w:sz w:val="24"/>
                <w:szCs w:val="24"/>
              </w:rPr>
              <w:t>:</w:t>
            </w:r>
            <w:r w:rsidRPr="00A62056">
              <w:rPr>
                <w:rFonts w:asciiTheme="minorHAnsi" w:hAnsiTheme="minorHAnsi" w:cstheme="minorHAnsi"/>
                <w:b/>
                <w:color w:val="864EA8" w:themeColor="accent1" w:themeShade="BF"/>
              </w:rPr>
              <w:t xml:space="preserve"> </w:t>
            </w:r>
            <w:r w:rsidRPr="00A62056">
              <w:rPr>
                <w:rFonts w:asciiTheme="minorHAnsi" w:hAnsiTheme="minorHAnsi" w:cstheme="minorHAnsi"/>
                <w:color w:val="864EA8" w:themeColor="accent1" w:themeShade="BF"/>
              </w:rPr>
              <w:t xml:space="preserve"> </w:t>
            </w:r>
            <w:r w:rsidR="00C13D81" w:rsidRPr="00C13D81">
              <w:rPr>
                <w:rFonts w:asciiTheme="minorHAnsi" w:hAnsiTheme="minorHAnsi" w:cstheme="minorHAnsi"/>
                <w:lang w:val="en-US"/>
              </w:rPr>
              <w:t>Community-Based Tourism (CBT) holds immense potential to drive inclusive and sustainable development in Fiji by creating local employment opportunities, preserving cultural heritage, and promoting the responsible use of natural resources. However, CBT initiatives continue to face systemic challenges related to governance fragmentation, skill gaps, and inconsistent service standards.</w:t>
            </w:r>
          </w:p>
          <w:p w14:paraId="2AE0F9B8" w14:textId="77777777" w:rsidR="00C13D81" w:rsidRPr="00C13D81" w:rsidRDefault="00C13D81" w:rsidP="00C13D81">
            <w:pPr>
              <w:rPr>
                <w:rFonts w:asciiTheme="minorHAnsi" w:hAnsiTheme="minorHAnsi" w:cstheme="minorHAnsi"/>
                <w:lang w:val="en-US"/>
              </w:rPr>
            </w:pPr>
          </w:p>
          <w:p w14:paraId="296DF324" w14:textId="77777777" w:rsidR="00C13D81" w:rsidRDefault="00C13D81" w:rsidP="00C13D81">
            <w:pPr>
              <w:rPr>
                <w:rFonts w:asciiTheme="minorHAnsi" w:hAnsiTheme="minorHAnsi" w:cstheme="minorHAnsi"/>
                <w:lang w:val="en-US"/>
              </w:rPr>
            </w:pPr>
            <w:r w:rsidRPr="00C13D81">
              <w:rPr>
                <w:rFonts w:asciiTheme="minorHAnsi" w:hAnsiTheme="minorHAnsi" w:cstheme="minorHAnsi"/>
                <w:lang w:val="en-US"/>
              </w:rPr>
              <w:t>This research introduces a hospitality-oriented, Vanua-based Action Research framework designed to address these challenges. By merging principles of professional hospitality with Indigenous knowledge systems, communities can enhance visitor experience, strengthen cultural interpretation, and improve operational safety.</w:t>
            </w:r>
          </w:p>
          <w:p w14:paraId="7E1DF8DE" w14:textId="77777777" w:rsidR="00C13D81" w:rsidRPr="00C13D81" w:rsidRDefault="00C13D81" w:rsidP="00C13D81">
            <w:pPr>
              <w:rPr>
                <w:rFonts w:asciiTheme="minorHAnsi" w:hAnsiTheme="minorHAnsi" w:cstheme="minorHAnsi"/>
                <w:lang w:val="en-US"/>
              </w:rPr>
            </w:pPr>
          </w:p>
          <w:p w14:paraId="7A1576A1" w14:textId="36F9465A" w:rsidR="00C13D81" w:rsidRPr="00C13D81" w:rsidRDefault="00C13D81" w:rsidP="00C13D81">
            <w:pPr>
              <w:rPr>
                <w:rFonts w:asciiTheme="minorHAnsi" w:hAnsiTheme="minorHAnsi" w:cstheme="minorHAnsi"/>
                <w:lang w:val="en-US"/>
              </w:rPr>
            </w:pPr>
            <w:r w:rsidRPr="00C13D81">
              <w:rPr>
                <w:rFonts w:asciiTheme="minorHAnsi" w:hAnsiTheme="minorHAnsi" w:cstheme="minorHAnsi"/>
                <w:lang w:val="en-US"/>
              </w:rPr>
              <w:t xml:space="preserve">The Natalei Eco Lodge case study demonstrates that collaborative, culturally grounded co-design processes not only elevate service quality but also strengthen community cohesion and ownership of tourism enterprises. Findings indicate that </w:t>
            </w:r>
            <w:r w:rsidR="009C6DBE">
              <w:rPr>
                <w:rFonts w:asciiTheme="minorHAnsi" w:hAnsiTheme="minorHAnsi" w:cstheme="minorHAnsi"/>
                <w:lang w:val="en-US"/>
              </w:rPr>
              <w:t>policymakers must foster stronger inter-ministerial coordination, establish national CBT quality standards, and expand capacity-building initiatives to fully harness CBT’s development potential in Fiji</w:t>
            </w:r>
            <w:r w:rsidRPr="00C13D81">
              <w:rPr>
                <w:rFonts w:asciiTheme="minorHAnsi" w:hAnsiTheme="minorHAnsi" w:cstheme="minorHAnsi"/>
                <w:lang w:val="en-US"/>
              </w:rPr>
              <w:t>.</w:t>
            </w:r>
          </w:p>
          <w:p w14:paraId="18F88C62" w14:textId="2474F46D" w:rsidR="00165F36" w:rsidRDefault="00165F36" w:rsidP="00C13D81">
            <w:pPr>
              <w:widowControl w:val="0"/>
              <w:spacing w:line="360" w:lineRule="auto"/>
              <w:rPr>
                <w:rFonts w:ascii="Calibri" w:eastAsia="Calibri" w:hAnsi="Calibri" w:cs="Calibri"/>
              </w:rPr>
            </w:pPr>
          </w:p>
          <w:p w14:paraId="67CA6C87" w14:textId="2919AD05" w:rsidR="002179BC" w:rsidRDefault="002179BC" w:rsidP="00C13D81">
            <w:pPr>
              <w:pStyle w:val="BulletPoints"/>
              <w:tabs>
                <w:tab w:val="clear" w:pos="720"/>
              </w:tabs>
              <w:spacing w:after="0"/>
              <w:rPr>
                <w:rFonts w:ascii="Calibri" w:eastAsia="Calibri" w:hAnsi="Calibri" w:cs="Calibri"/>
              </w:rPr>
            </w:pPr>
          </w:p>
        </w:tc>
      </w:tr>
    </w:tbl>
    <w:bookmarkStart w:id="0" w:name="_heading=h.m3xu3i5k1m1c" w:colFirst="0" w:colLast="0"/>
    <w:bookmarkEnd w:id="0"/>
    <w:p w14:paraId="66455833" w14:textId="4D09DA7B" w:rsidR="00165F36" w:rsidRDefault="00C13D81" w:rsidP="00C13D81">
      <w:pPr>
        <w:pStyle w:val="Heading1"/>
        <w:spacing w:before="480" w:after="0" w:line="276" w:lineRule="auto"/>
        <w:jc w:val="both"/>
        <w:rPr>
          <w:rFonts w:ascii="Calibri" w:eastAsia="Calibri" w:hAnsi="Calibri" w:cs="Calibri"/>
          <w:i/>
          <w:color w:val="006600"/>
          <w:sz w:val="22"/>
        </w:rPr>
        <w:sectPr w:rsidR="00165F36">
          <w:type w:val="continuous"/>
          <w:pgSz w:w="11907" w:h="16840"/>
          <w:pgMar w:top="1418" w:right="1418" w:bottom="1276" w:left="1418" w:header="135" w:footer="397" w:gutter="0"/>
          <w:cols w:space="720"/>
          <w:titlePg/>
        </w:sectPr>
      </w:pPr>
      <w:r>
        <w:rPr>
          <w:noProof/>
        </w:rPr>
        <mc:AlternateContent>
          <mc:Choice Requires="wps">
            <w:drawing>
              <wp:anchor distT="0" distB="0" distL="114300" distR="114300" simplePos="0" relativeHeight="251658240" behindDoc="0" locked="0" layoutInCell="1" hidden="0" allowOverlap="1" wp14:anchorId="7F28365F" wp14:editId="44BAC98E">
                <wp:simplePos x="0" y="0"/>
                <wp:positionH relativeFrom="column">
                  <wp:posOffset>1</wp:posOffset>
                </wp:positionH>
                <wp:positionV relativeFrom="paragraph">
                  <wp:posOffset>0</wp:posOffset>
                </wp:positionV>
                <wp:extent cx="9525" cy="12700"/>
                <wp:effectExtent l="0" t="0" r="0" b="0"/>
                <wp:wrapNone/>
                <wp:docPr id="1262260952" name="Straight Arrow Connector 1262260952"/>
                <wp:cNvGraphicFramePr/>
                <a:graphic xmlns:a="http://schemas.openxmlformats.org/drawingml/2006/main">
                  <a:graphicData uri="http://schemas.microsoft.com/office/word/2010/wordprocessingShape">
                    <wps:wsp>
                      <wps:cNvCnPr/>
                      <wps:spPr>
                        <a:xfrm rot="10800000" flipH="1">
                          <a:off x="2421825" y="3775238"/>
                          <a:ext cx="58483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25" cy="12700"/>
                <wp:effectExtent b="0" l="0" r="0" t="0"/>
                <wp:wrapNone/>
                <wp:docPr id="126226095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9525" cy="12700"/>
                        </a:xfrm>
                        <a:prstGeom prst="rect"/>
                        <a:ln/>
                      </pic:spPr>
                    </pic:pic>
                  </a:graphicData>
                </a:graphic>
              </wp:anchor>
            </w:drawing>
          </mc:Fallback>
        </mc:AlternateContent>
      </w:r>
    </w:p>
    <w:p w14:paraId="1B8B43D3" w14:textId="77777777" w:rsidR="005226E9" w:rsidRPr="00383BCD" w:rsidRDefault="005226E9" w:rsidP="00C13D81">
      <w:pPr>
        <w:pStyle w:val="BulletPoints"/>
        <w:tabs>
          <w:tab w:val="clear" w:pos="720"/>
        </w:tabs>
        <w:ind w:left="0" w:firstLine="0"/>
        <w:rPr>
          <w:rFonts w:asciiTheme="minorHAnsi" w:hAnsiTheme="minorHAnsi" w:cstheme="minorHAnsi"/>
          <w:b/>
          <w:color w:val="864EA8" w:themeColor="accent1" w:themeShade="BF"/>
          <w:szCs w:val="24"/>
        </w:rPr>
      </w:pPr>
      <w:r w:rsidRPr="00383BCD">
        <w:rPr>
          <w:rFonts w:asciiTheme="minorHAnsi" w:hAnsiTheme="minorHAnsi" w:cstheme="minorHAnsi"/>
          <w:b/>
          <w:color w:val="864EA8" w:themeColor="accent1" w:themeShade="BF"/>
          <w:szCs w:val="24"/>
        </w:rPr>
        <w:t>What is the development issue?</w:t>
      </w:r>
    </w:p>
    <w:p w14:paraId="2B24CD80" w14:textId="68D6E0CB" w:rsidR="00C13D81" w:rsidRPr="00C13D81" w:rsidRDefault="00C13D81" w:rsidP="00C13D81">
      <w:pPr>
        <w:spacing w:after="200" w:line="276" w:lineRule="auto"/>
        <w:jc w:val="both"/>
        <w:rPr>
          <w:rFonts w:ascii="Calibri" w:eastAsia="MS Mincho" w:hAnsi="Calibri" w:cs="Times New Roman"/>
          <w:lang w:val="en-US"/>
        </w:rPr>
      </w:pPr>
      <w:r w:rsidRPr="00C13D81">
        <w:rPr>
          <w:rFonts w:ascii="Calibri" w:eastAsia="MS Mincho" w:hAnsi="Calibri" w:cs="Times New Roman"/>
          <w:lang w:val="en-US"/>
        </w:rPr>
        <w:t xml:space="preserve">Tourism is a cornerstone of Fiji’s economy, contributing approximately 40% to national GDP and providing livelihoods for over 100,000 people. Yet, a substantial proportion of tourism revenue remains concentrated in urban </w:t>
      </w:r>
      <w:proofErr w:type="spellStart"/>
      <w:r w:rsidR="009C6DBE">
        <w:rPr>
          <w:rFonts w:ascii="Calibri" w:eastAsia="MS Mincho" w:hAnsi="Calibri" w:cs="Times New Roman"/>
          <w:lang w:val="en-US"/>
        </w:rPr>
        <w:t>centres</w:t>
      </w:r>
      <w:proofErr w:type="spellEnd"/>
      <w:r w:rsidRPr="00C13D81">
        <w:rPr>
          <w:rFonts w:ascii="Calibri" w:eastAsia="MS Mincho" w:hAnsi="Calibri" w:cs="Times New Roman"/>
          <w:lang w:val="en-US"/>
        </w:rPr>
        <w:t xml:space="preserve"> and foreign-owned resorts, with limited flow-on benefits to rural and Indigenous communities. Community-Based Tourism offers an alternative pathway for inclusive growth by placing ownership and management in the hands of local people.</w:t>
      </w:r>
    </w:p>
    <w:p w14:paraId="3DEC6DDC" w14:textId="51F0226B" w:rsidR="00C13D81" w:rsidRPr="00C13D81" w:rsidRDefault="00C13D81" w:rsidP="00C13D81">
      <w:pPr>
        <w:spacing w:after="200" w:line="276" w:lineRule="auto"/>
        <w:jc w:val="both"/>
        <w:rPr>
          <w:rFonts w:ascii="Calibri" w:eastAsia="MS Mincho" w:hAnsi="Calibri" w:cs="Times New Roman"/>
          <w:lang w:val="en-US"/>
        </w:rPr>
      </w:pPr>
      <w:r w:rsidRPr="00C13D81">
        <w:rPr>
          <w:rFonts w:ascii="Calibri" w:eastAsia="MS Mincho" w:hAnsi="Calibri" w:cs="Times New Roman"/>
          <w:lang w:val="en-US"/>
        </w:rPr>
        <w:t xml:space="preserve">Despite its promise, CBT in Fiji faces enduring challenges. Many enterprises struggle to maintain consistent service quality, ensure visitor safety, and meet the expectations of international tourists. Fragmented governance structures, inadequate </w:t>
      </w:r>
      <w:r w:rsidRPr="00C13D81">
        <w:rPr>
          <w:rFonts w:ascii="Calibri" w:eastAsia="MS Mincho" w:hAnsi="Calibri" w:cs="Times New Roman"/>
          <w:lang w:val="en-US"/>
        </w:rPr>
        <w:t>coordination among ministries, and limited access to training or marketing support exacerbate these issues. Consequently, village-based tourism projects often operate below their potential, hindering both community prosperity and national development goals.</w:t>
      </w:r>
    </w:p>
    <w:p w14:paraId="323F59E7" w14:textId="5BE652C8" w:rsidR="00C13D81" w:rsidRPr="00C13D81" w:rsidRDefault="00C13D81" w:rsidP="00C13D81">
      <w:pPr>
        <w:spacing w:after="200" w:line="276" w:lineRule="auto"/>
        <w:jc w:val="both"/>
        <w:rPr>
          <w:rFonts w:ascii="Calibri" w:eastAsia="MS Mincho" w:hAnsi="Calibri" w:cs="Times New Roman"/>
          <w:lang w:val="en-US"/>
        </w:rPr>
      </w:pPr>
      <w:r w:rsidRPr="00C13D81">
        <w:rPr>
          <w:rFonts w:ascii="Calibri" w:eastAsia="MS Mincho" w:hAnsi="Calibri" w:cs="Times New Roman"/>
          <w:lang w:val="en-US"/>
        </w:rPr>
        <w:t xml:space="preserve">This issue directly impacts Fiji’s capacity to achieve Sustainable Development Goals (SDGs) 8, 11, 13, and 17, which </w:t>
      </w:r>
      <w:proofErr w:type="spellStart"/>
      <w:r w:rsidR="009C6DBE">
        <w:rPr>
          <w:rFonts w:ascii="Calibri" w:eastAsia="MS Mincho" w:hAnsi="Calibri" w:cs="Times New Roman"/>
          <w:lang w:val="en-US"/>
        </w:rPr>
        <w:t>emphasise</w:t>
      </w:r>
      <w:proofErr w:type="spellEnd"/>
      <w:r w:rsidRPr="00C13D81">
        <w:rPr>
          <w:rFonts w:ascii="Calibri" w:eastAsia="MS Mincho" w:hAnsi="Calibri" w:cs="Times New Roman"/>
          <w:lang w:val="en-US"/>
        </w:rPr>
        <w:t xml:space="preserve"> sustainable economic growth, resilient communities, and effective partnerships. Addressing weaknesses in CBT systems can improve employment outcomes, enhance resilience to climate shocks, and preserve cultural integrity. In the absence of reform, communities risk continued dependency on external investors and minimal returns from tourism activity.</w:t>
      </w:r>
    </w:p>
    <w:p w14:paraId="4DD5AA62" w14:textId="452CD741" w:rsidR="005226E9" w:rsidRPr="00383BCD" w:rsidRDefault="005226E9" w:rsidP="00C13D81">
      <w:pPr>
        <w:pStyle w:val="BulletPoints"/>
        <w:tabs>
          <w:tab w:val="clear" w:pos="720"/>
        </w:tabs>
        <w:ind w:left="0" w:firstLine="0"/>
        <w:rPr>
          <w:rFonts w:asciiTheme="minorHAnsi" w:hAnsiTheme="minorHAnsi" w:cstheme="minorHAnsi"/>
          <w:b/>
          <w:color w:val="864EA8" w:themeColor="accent1" w:themeShade="BF"/>
        </w:rPr>
      </w:pPr>
      <w:r w:rsidRPr="00383BCD">
        <w:rPr>
          <w:rFonts w:asciiTheme="minorHAnsi" w:hAnsiTheme="minorHAnsi" w:cstheme="minorHAnsi"/>
          <w:b/>
          <w:color w:val="864EA8" w:themeColor="accent1" w:themeShade="BF"/>
        </w:rPr>
        <w:lastRenderedPageBreak/>
        <w:t>Key findings</w:t>
      </w:r>
    </w:p>
    <w:p w14:paraId="6045FFEF" w14:textId="77777777" w:rsidR="00C13D81" w:rsidRPr="00C13D81" w:rsidRDefault="00C13D81" w:rsidP="00C13D81">
      <w:pPr>
        <w:spacing w:before="200" w:line="276" w:lineRule="auto"/>
        <w:ind w:left="-15"/>
        <w:jc w:val="both"/>
        <w:rPr>
          <w:rFonts w:asciiTheme="minorHAnsi" w:hAnsiTheme="minorHAnsi" w:cstheme="minorHAnsi"/>
          <w:iCs/>
          <w:lang w:val="en-US" w:bidi="ar-DZ"/>
        </w:rPr>
      </w:pPr>
      <w:r w:rsidRPr="00C13D81">
        <w:rPr>
          <w:rFonts w:asciiTheme="minorHAnsi" w:hAnsiTheme="minorHAnsi" w:cstheme="minorHAnsi"/>
          <w:iCs/>
          <w:lang w:val="en-US" w:bidi="ar-DZ"/>
        </w:rPr>
        <w:t>The central question guiding this study was: What approaches can improve Community-Based Tourism in Fiji through a hospitality-focused Action Research method?</w:t>
      </w:r>
    </w:p>
    <w:p w14:paraId="78785D18" w14:textId="04073097" w:rsidR="00C13D81" w:rsidRPr="00C13D81" w:rsidRDefault="00C13D81" w:rsidP="00C13D81">
      <w:pPr>
        <w:spacing w:before="200" w:line="276" w:lineRule="auto"/>
        <w:ind w:left="-15"/>
        <w:jc w:val="both"/>
        <w:rPr>
          <w:rFonts w:asciiTheme="minorHAnsi" w:hAnsiTheme="minorHAnsi" w:cstheme="minorHAnsi"/>
          <w:iCs/>
          <w:lang w:val="en-US" w:bidi="ar-DZ"/>
        </w:rPr>
      </w:pPr>
      <w:r w:rsidRPr="00C13D81">
        <w:rPr>
          <w:rFonts w:asciiTheme="minorHAnsi" w:hAnsiTheme="minorHAnsi" w:cstheme="minorHAnsi"/>
          <w:iCs/>
          <w:lang w:val="en-US" w:bidi="ar-DZ"/>
        </w:rPr>
        <w:t xml:space="preserve">The research employed a Participatory Action Research (PAR) design, guided by Vanua-based methodologies </w:t>
      </w:r>
      <w:proofErr w:type="spellStart"/>
      <w:r w:rsidR="009C6DBE">
        <w:rPr>
          <w:rFonts w:asciiTheme="minorHAnsi" w:hAnsiTheme="minorHAnsi" w:cstheme="minorHAnsi"/>
          <w:iCs/>
          <w:lang w:val="en-US" w:bidi="ar-DZ"/>
        </w:rPr>
        <w:t>emphasising</w:t>
      </w:r>
      <w:proofErr w:type="spellEnd"/>
      <w:r w:rsidRPr="00C13D81">
        <w:rPr>
          <w:rFonts w:asciiTheme="minorHAnsi" w:hAnsiTheme="minorHAnsi" w:cstheme="minorHAnsi"/>
          <w:iCs/>
          <w:lang w:val="en-US" w:bidi="ar-DZ"/>
        </w:rPr>
        <w:t xml:space="preserve"> collaboration, cultural sensitivity, and reflection. Fieldwork was conducted at Natalei </w:t>
      </w:r>
      <w:r w:rsidR="009C6DBE">
        <w:rPr>
          <w:rFonts w:asciiTheme="minorHAnsi" w:hAnsiTheme="minorHAnsi" w:cstheme="minorHAnsi"/>
          <w:iCs/>
          <w:lang w:val="en-US" w:bidi="ar-DZ"/>
        </w:rPr>
        <w:t>Experience</w:t>
      </w:r>
      <w:r w:rsidRPr="00C13D81">
        <w:rPr>
          <w:rFonts w:asciiTheme="minorHAnsi" w:hAnsiTheme="minorHAnsi" w:cstheme="minorHAnsi"/>
          <w:iCs/>
          <w:lang w:val="en-US" w:bidi="ar-DZ"/>
        </w:rPr>
        <w:t xml:space="preserve">, involving talanoa sessions, participant observation, co-design </w:t>
      </w:r>
      <w:r w:rsidR="009C6DBE">
        <w:rPr>
          <w:rFonts w:asciiTheme="minorHAnsi" w:hAnsiTheme="minorHAnsi" w:cstheme="minorHAnsi"/>
          <w:iCs/>
          <w:lang w:val="en-US" w:bidi="ar-DZ"/>
        </w:rPr>
        <w:t>talanoa</w:t>
      </w:r>
      <w:r w:rsidRPr="00C13D81">
        <w:rPr>
          <w:rFonts w:asciiTheme="minorHAnsi" w:hAnsiTheme="minorHAnsi" w:cstheme="minorHAnsi"/>
          <w:iCs/>
          <w:lang w:val="en-US" w:bidi="ar-DZ"/>
        </w:rPr>
        <w:t xml:space="preserve">, and </w:t>
      </w:r>
      <w:r w:rsidR="009C6DBE">
        <w:rPr>
          <w:rFonts w:asciiTheme="minorHAnsi" w:hAnsiTheme="minorHAnsi" w:cstheme="minorHAnsi"/>
          <w:iCs/>
          <w:lang w:val="en-US" w:bidi="ar-DZ"/>
        </w:rPr>
        <w:t xml:space="preserve">validation exercises with feedback from </w:t>
      </w:r>
      <w:r w:rsidRPr="00C13D81">
        <w:rPr>
          <w:rFonts w:asciiTheme="minorHAnsi" w:hAnsiTheme="minorHAnsi" w:cstheme="minorHAnsi"/>
          <w:iCs/>
          <w:lang w:val="en-US" w:bidi="ar-DZ"/>
        </w:rPr>
        <w:t>community members, government officers, and visitors.</w:t>
      </w:r>
    </w:p>
    <w:p w14:paraId="620316A5" w14:textId="622E954A" w:rsidR="00E60AA5" w:rsidRPr="00E60AA5" w:rsidRDefault="00E60AA5" w:rsidP="00E60AA5">
      <w:pPr>
        <w:spacing w:before="200" w:line="276" w:lineRule="auto"/>
        <w:ind w:left="-15"/>
        <w:jc w:val="both"/>
        <w:rPr>
          <w:rFonts w:asciiTheme="minorHAnsi" w:hAnsiTheme="minorHAnsi" w:cstheme="minorHAnsi"/>
          <w:iCs/>
          <w:lang w:val="en-US" w:bidi="ar-DZ"/>
        </w:rPr>
      </w:pPr>
      <w:r w:rsidRPr="00E60AA5">
        <w:rPr>
          <w:rFonts w:asciiTheme="minorHAnsi" w:hAnsiTheme="minorHAnsi" w:cstheme="minorHAnsi"/>
          <w:iCs/>
          <w:lang w:val="en-US" w:bidi="ar-DZ"/>
        </w:rPr>
        <w:t xml:space="preserve">Findings revealed that while communities possess deep cultural pride and motivation, systemic </w:t>
      </w:r>
      <w:r>
        <w:rPr>
          <w:rFonts w:asciiTheme="minorHAnsi" w:hAnsiTheme="minorHAnsi" w:cstheme="minorHAnsi"/>
          <w:iCs/>
          <w:lang w:val="en-US" w:bidi="ar-DZ"/>
        </w:rPr>
        <w:t xml:space="preserve">barriers such as limited access to finance, policy fragmentation, and uneven training </w:t>
      </w:r>
      <w:r w:rsidRPr="00E60AA5">
        <w:rPr>
          <w:rFonts w:asciiTheme="minorHAnsi" w:hAnsiTheme="minorHAnsi" w:cstheme="minorHAnsi"/>
          <w:iCs/>
          <w:lang w:val="en-US" w:bidi="ar-DZ"/>
        </w:rPr>
        <w:t>continue to impede their full potential. Yet the enterprise has carved out a notably resilient and values-driven model. Since its establishment in 2006, it has weathered three cyclones and the COVID-19 pandemic, retaining eight full-time, paid staff and maintaining a business practice that directly funds core community non-profits</w:t>
      </w:r>
      <w:r>
        <w:rPr>
          <w:rFonts w:asciiTheme="minorHAnsi" w:hAnsiTheme="minorHAnsi" w:cstheme="minorHAnsi"/>
          <w:iCs/>
          <w:lang w:val="en-US" w:bidi="ar-DZ"/>
        </w:rPr>
        <w:t xml:space="preserve">, including </w:t>
      </w:r>
      <w:r w:rsidRPr="00E60AA5">
        <w:rPr>
          <w:rFonts w:asciiTheme="minorHAnsi" w:hAnsiTheme="minorHAnsi" w:cstheme="minorHAnsi"/>
          <w:iCs/>
          <w:lang w:val="en-US" w:bidi="ar-DZ"/>
        </w:rPr>
        <w:t xml:space="preserve">the Youth Club, the Environment Committee, and the </w:t>
      </w:r>
      <w:proofErr w:type="spellStart"/>
      <w:r w:rsidRPr="00E60AA5">
        <w:rPr>
          <w:rFonts w:asciiTheme="minorHAnsi" w:hAnsiTheme="minorHAnsi" w:cstheme="minorHAnsi"/>
          <w:iCs/>
          <w:lang w:val="en-US" w:bidi="ar-DZ"/>
        </w:rPr>
        <w:t>Soqosoqo</w:t>
      </w:r>
      <w:proofErr w:type="spellEnd"/>
      <w:r w:rsidRPr="00E60AA5">
        <w:rPr>
          <w:rFonts w:asciiTheme="minorHAnsi" w:hAnsiTheme="minorHAnsi" w:cstheme="minorHAnsi"/>
          <w:iCs/>
          <w:lang w:val="en-US" w:bidi="ar-DZ"/>
        </w:rPr>
        <w:t xml:space="preserve"> </w:t>
      </w:r>
      <w:proofErr w:type="spellStart"/>
      <w:r w:rsidRPr="00E60AA5">
        <w:rPr>
          <w:rFonts w:asciiTheme="minorHAnsi" w:hAnsiTheme="minorHAnsi" w:cstheme="minorHAnsi"/>
          <w:iCs/>
          <w:lang w:val="en-US" w:bidi="ar-DZ"/>
        </w:rPr>
        <w:t>Vakamarama</w:t>
      </w:r>
      <w:proofErr w:type="spellEnd"/>
      <w:r w:rsidRPr="00E60AA5">
        <w:rPr>
          <w:rFonts w:asciiTheme="minorHAnsi" w:hAnsiTheme="minorHAnsi" w:cstheme="minorHAnsi"/>
          <w:iCs/>
          <w:lang w:val="en-US" w:bidi="ar-DZ"/>
        </w:rPr>
        <w:t xml:space="preserve"> (women’s club). This approach effectively embeds communalism into the operation</w:t>
      </w:r>
      <w:r>
        <w:rPr>
          <w:rFonts w:asciiTheme="minorHAnsi" w:hAnsiTheme="minorHAnsi" w:cstheme="minorHAnsi"/>
          <w:iCs/>
          <w:lang w:val="en-US" w:bidi="ar-DZ"/>
        </w:rPr>
        <w:t>, spreading benefits beyond payroll and transforming the enterprise into a hub for social cohesion and collective well-being</w:t>
      </w:r>
      <w:r w:rsidRPr="00E60AA5">
        <w:rPr>
          <w:rFonts w:asciiTheme="minorHAnsi" w:hAnsiTheme="minorHAnsi" w:cstheme="minorHAnsi"/>
          <w:iCs/>
          <w:lang w:val="en-US" w:bidi="ar-DZ"/>
        </w:rPr>
        <w:t>. As one staff member put it, “Every guest we host doesn’t just pay for a bed; they help keep our youth active, our reefs healthy, and our mothers’ projects alive.”</w:t>
      </w:r>
    </w:p>
    <w:p w14:paraId="335B7FAA" w14:textId="75630DA0" w:rsidR="00E60AA5" w:rsidRPr="00E60AA5" w:rsidRDefault="00E60AA5" w:rsidP="00E60AA5">
      <w:pPr>
        <w:spacing w:before="200" w:line="276" w:lineRule="auto"/>
        <w:ind w:left="-15"/>
        <w:jc w:val="both"/>
        <w:rPr>
          <w:rFonts w:asciiTheme="minorHAnsi" w:hAnsiTheme="minorHAnsi" w:cstheme="minorHAnsi"/>
          <w:iCs/>
          <w:lang w:val="en-US" w:bidi="ar-DZ"/>
        </w:rPr>
      </w:pPr>
      <w:r w:rsidRPr="00E60AA5">
        <w:rPr>
          <w:rFonts w:asciiTheme="minorHAnsi" w:hAnsiTheme="minorHAnsi" w:cstheme="minorHAnsi"/>
          <w:iCs/>
          <w:lang w:val="en-US" w:bidi="ar-DZ"/>
        </w:rPr>
        <w:t xml:space="preserve">Operationally, the lodge’s allocations to community bodies are predictable, transparent, and tied to seasonal cash flows, which </w:t>
      </w:r>
      <w:r>
        <w:rPr>
          <w:rFonts w:asciiTheme="minorHAnsi" w:hAnsiTheme="minorHAnsi" w:cstheme="minorHAnsi"/>
          <w:iCs/>
          <w:lang w:val="en-US" w:bidi="ar-DZ"/>
        </w:rPr>
        <w:t>have</w:t>
      </w:r>
      <w:r w:rsidRPr="00E60AA5">
        <w:rPr>
          <w:rFonts w:asciiTheme="minorHAnsi" w:hAnsiTheme="minorHAnsi" w:cstheme="minorHAnsi"/>
          <w:iCs/>
          <w:lang w:val="en-US" w:bidi="ar-DZ"/>
        </w:rPr>
        <w:t xml:space="preserve"> built trust and accountability. A Youth Club treasurer explained, “We receive our share directly from the hotel</w:t>
      </w:r>
      <w:r>
        <w:rPr>
          <w:rFonts w:asciiTheme="minorHAnsi" w:hAnsiTheme="minorHAnsi" w:cstheme="minorHAnsi"/>
          <w:iCs/>
          <w:lang w:val="en-US" w:bidi="ar-DZ"/>
        </w:rPr>
        <w:t xml:space="preserve">, </w:t>
      </w:r>
      <w:r w:rsidRPr="00E60AA5">
        <w:rPr>
          <w:rFonts w:asciiTheme="minorHAnsi" w:hAnsiTheme="minorHAnsi" w:cstheme="minorHAnsi"/>
          <w:iCs/>
          <w:lang w:val="en-US" w:bidi="ar-DZ"/>
        </w:rPr>
        <w:t>no middleman</w:t>
      </w:r>
      <w:r>
        <w:rPr>
          <w:rFonts w:asciiTheme="minorHAnsi" w:hAnsiTheme="minorHAnsi" w:cstheme="minorHAnsi"/>
          <w:iCs/>
          <w:lang w:val="en-US" w:bidi="ar-DZ"/>
        </w:rPr>
        <w:t xml:space="preserve">, </w:t>
      </w:r>
      <w:r w:rsidRPr="00E60AA5">
        <w:rPr>
          <w:rFonts w:asciiTheme="minorHAnsi" w:hAnsiTheme="minorHAnsi" w:cstheme="minorHAnsi"/>
          <w:iCs/>
          <w:lang w:val="en-US" w:bidi="ar-DZ"/>
        </w:rPr>
        <w:t xml:space="preserve">so we can plan activities, maintain the sports ground, and keep young people engaged.” Similarly, an Environment Committee representative noted, “The hotel’s regular contribution helps us </w:t>
      </w:r>
      <w:proofErr w:type="spellStart"/>
      <w:r w:rsidRPr="00E60AA5">
        <w:rPr>
          <w:rFonts w:asciiTheme="minorHAnsi" w:hAnsiTheme="minorHAnsi" w:cstheme="minorHAnsi"/>
          <w:iCs/>
          <w:lang w:val="en-US" w:bidi="ar-DZ"/>
        </w:rPr>
        <w:t>organise</w:t>
      </w:r>
      <w:proofErr w:type="spellEnd"/>
      <w:r w:rsidRPr="00E60AA5">
        <w:rPr>
          <w:rFonts w:asciiTheme="minorHAnsi" w:hAnsiTheme="minorHAnsi" w:cstheme="minorHAnsi"/>
          <w:iCs/>
          <w:lang w:val="en-US" w:bidi="ar-DZ"/>
        </w:rPr>
        <w:t xml:space="preserve"> </w:t>
      </w:r>
      <w:r>
        <w:rPr>
          <w:rFonts w:asciiTheme="minorHAnsi" w:hAnsiTheme="minorHAnsi" w:cstheme="minorHAnsi"/>
          <w:iCs/>
          <w:lang w:val="en-US" w:bidi="ar-DZ"/>
        </w:rPr>
        <w:t>village</w:t>
      </w:r>
      <w:r w:rsidRPr="00E60AA5">
        <w:rPr>
          <w:rFonts w:asciiTheme="minorHAnsi" w:hAnsiTheme="minorHAnsi" w:cstheme="minorHAnsi"/>
          <w:iCs/>
          <w:lang w:val="en-US" w:bidi="ar-DZ"/>
        </w:rPr>
        <w:t xml:space="preserve">-clean ups and mangrove planting. When tourism is steady, conservation is steady.” A leader from the </w:t>
      </w:r>
      <w:proofErr w:type="spellStart"/>
      <w:r w:rsidRPr="00E60AA5">
        <w:rPr>
          <w:rFonts w:asciiTheme="minorHAnsi" w:hAnsiTheme="minorHAnsi" w:cstheme="minorHAnsi"/>
          <w:iCs/>
          <w:lang w:val="en-US" w:bidi="ar-DZ"/>
        </w:rPr>
        <w:t>Soqosoqo</w:t>
      </w:r>
      <w:proofErr w:type="spellEnd"/>
      <w:r w:rsidRPr="00E60AA5">
        <w:rPr>
          <w:rFonts w:asciiTheme="minorHAnsi" w:hAnsiTheme="minorHAnsi" w:cstheme="minorHAnsi"/>
          <w:iCs/>
          <w:lang w:val="en-US" w:bidi="ar-DZ"/>
        </w:rPr>
        <w:t xml:space="preserve"> </w:t>
      </w:r>
      <w:proofErr w:type="spellStart"/>
      <w:r w:rsidRPr="00E60AA5">
        <w:rPr>
          <w:rFonts w:asciiTheme="minorHAnsi" w:hAnsiTheme="minorHAnsi" w:cstheme="minorHAnsi"/>
          <w:iCs/>
          <w:lang w:val="en-US" w:bidi="ar-DZ"/>
        </w:rPr>
        <w:t>Vakamarama</w:t>
      </w:r>
      <w:proofErr w:type="spellEnd"/>
      <w:r w:rsidRPr="00E60AA5">
        <w:rPr>
          <w:rFonts w:asciiTheme="minorHAnsi" w:hAnsiTheme="minorHAnsi" w:cstheme="minorHAnsi"/>
          <w:iCs/>
          <w:lang w:val="en-US" w:bidi="ar-DZ"/>
        </w:rPr>
        <w:t xml:space="preserve"> added, “Our women’s group uses part of the funds for craft materials and</w:t>
      </w:r>
      <w:r>
        <w:rPr>
          <w:rFonts w:asciiTheme="minorHAnsi" w:hAnsiTheme="minorHAnsi" w:cstheme="minorHAnsi"/>
          <w:iCs/>
          <w:lang w:val="en-US" w:bidi="ar-DZ"/>
        </w:rPr>
        <w:t xml:space="preserve"> micro credit scheme and</w:t>
      </w:r>
      <w:r w:rsidRPr="00E60AA5">
        <w:rPr>
          <w:rFonts w:asciiTheme="minorHAnsi" w:hAnsiTheme="minorHAnsi" w:cstheme="minorHAnsi"/>
          <w:iCs/>
          <w:lang w:val="en-US" w:bidi="ar-DZ"/>
        </w:rPr>
        <w:t xml:space="preserve"> small grants. It gives us dignity and a say in our community’s future.”</w:t>
      </w:r>
    </w:p>
    <w:p w14:paraId="4521A99D" w14:textId="6D275082" w:rsidR="00E60AA5" w:rsidRPr="00E60AA5" w:rsidRDefault="00E60AA5" w:rsidP="00E60AA5">
      <w:pPr>
        <w:spacing w:before="200" w:line="276" w:lineRule="auto"/>
        <w:ind w:left="-15"/>
        <w:jc w:val="both"/>
        <w:rPr>
          <w:rFonts w:asciiTheme="minorHAnsi" w:hAnsiTheme="minorHAnsi" w:cstheme="minorHAnsi"/>
          <w:iCs/>
          <w:lang w:val="en-US" w:bidi="ar-DZ"/>
        </w:rPr>
      </w:pPr>
      <w:r w:rsidRPr="00E60AA5">
        <w:rPr>
          <w:rFonts w:asciiTheme="minorHAnsi" w:hAnsiTheme="minorHAnsi" w:cstheme="minorHAnsi"/>
          <w:iCs/>
          <w:lang w:val="en-US" w:bidi="ar-DZ"/>
        </w:rPr>
        <w:t xml:space="preserve">Crucially, the enterprise’s success is tied to Indigenous values </w:t>
      </w:r>
      <w:proofErr w:type="spellStart"/>
      <w:r w:rsidRPr="00E60AA5">
        <w:rPr>
          <w:rFonts w:asciiTheme="minorHAnsi" w:hAnsiTheme="minorHAnsi" w:cstheme="minorHAnsi"/>
          <w:iCs/>
          <w:lang w:val="en-US" w:bidi="ar-DZ"/>
        </w:rPr>
        <w:t>operationalised</w:t>
      </w:r>
      <w:proofErr w:type="spellEnd"/>
      <w:r w:rsidRPr="00E60AA5">
        <w:rPr>
          <w:rFonts w:asciiTheme="minorHAnsi" w:hAnsiTheme="minorHAnsi" w:cstheme="minorHAnsi"/>
          <w:iCs/>
          <w:lang w:val="en-US" w:bidi="ar-DZ"/>
        </w:rPr>
        <w:t xml:space="preserve"> in daily practice</w:t>
      </w:r>
      <w:r>
        <w:rPr>
          <w:rFonts w:asciiTheme="minorHAnsi" w:hAnsiTheme="minorHAnsi" w:cstheme="minorHAnsi"/>
          <w:iCs/>
          <w:lang w:val="en-US" w:bidi="ar-DZ"/>
        </w:rPr>
        <w:t xml:space="preserve">, </w:t>
      </w:r>
      <w:proofErr w:type="spellStart"/>
      <w:r w:rsidRPr="00E60AA5">
        <w:rPr>
          <w:rFonts w:asciiTheme="minorHAnsi" w:hAnsiTheme="minorHAnsi" w:cstheme="minorHAnsi"/>
          <w:iCs/>
          <w:lang w:val="en-US" w:bidi="ar-DZ"/>
        </w:rPr>
        <w:t>veiwekani</w:t>
      </w:r>
      <w:proofErr w:type="spellEnd"/>
      <w:r w:rsidRPr="00E60AA5">
        <w:rPr>
          <w:rFonts w:asciiTheme="minorHAnsi" w:hAnsiTheme="minorHAnsi" w:cstheme="minorHAnsi"/>
          <w:iCs/>
          <w:lang w:val="en-US" w:bidi="ar-DZ"/>
        </w:rPr>
        <w:t xml:space="preserve"> (relationships), </w:t>
      </w:r>
      <w:proofErr w:type="spellStart"/>
      <w:r w:rsidRPr="00E60AA5">
        <w:rPr>
          <w:rFonts w:asciiTheme="minorHAnsi" w:hAnsiTheme="minorHAnsi" w:cstheme="minorHAnsi"/>
          <w:iCs/>
          <w:lang w:val="en-US" w:bidi="ar-DZ"/>
        </w:rPr>
        <w:t>veilomani</w:t>
      </w:r>
      <w:proofErr w:type="spellEnd"/>
      <w:r w:rsidRPr="00E60AA5">
        <w:rPr>
          <w:rFonts w:asciiTheme="minorHAnsi" w:hAnsiTheme="minorHAnsi" w:cstheme="minorHAnsi"/>
          <w:iCs/>
          <w:lang w:val="en-US" w:bidi="ar-DZ"/>
        </w:rPr>
        <w:t xml:space="preserve"> (care/compassion), and </w:t>
      </w:r>
      <w:proofErr w:type="spellStart"/>
      <w:r w:rsidRPr="00E60AA5">
        <w:rPr>
          <w:rFonts w:asciiTheme="minorHAnsi" w:hAnsiTheme="minorHAnsi" w:cstheme="minorHAnsi"/>
          <w:iCs/>
          <w:lang w:val="en-US" w:bidi="ar-DZ"/>
        </w:rPr>
        <w:t>vakaturaga</w:t>
      </w:r>
      <w:proofErr w:type="spellEnd"/>
      <w:r w:rsidRPr="00E60AA5">
        <w:rPr>
          <w:rFonts w:asciiTheme="minorHAnsi" w:hAnsiTheme="minorHAnsi" w:cstheme="minorHAnsi"/>
          <w:iCs/>
          <w:lang w:val="en-US" w:bidi="ar-DZ"/>
        </w:rPr>
        <w:t xml:space="preserve"> (chiefly respect/conduct). These values guide guest interactions, staff engagement, and decision-making. A long-serving team member reflected, “</w:t>
      </w:r>
      <w:proofErr w:type="spellStart"/>
      <w:r w:rsidRPr="00E60AA5">
        <w:rPr>
          <w:rFonts w:asciiTheme="minorHAnsi" w:hAnsiTheme="minorHAnsi" w:cstheme="minorHAnsi"/>
          <w:iCs/>
          <w:lang w:val="en-US" w:bidi="ar-DZ"/>
        </w:rPr>
        <w:t>Veiwekani</w:t>
      </w:r>
      <w:proofErr w:type="spellEnd"/>
      <w:r w:rsidRPr="00E60AA5">
        <w:rPr>
          <w:rFonts w:asciiTheme="minorHAnsi" w:hAnsiTheme="minorHAnsi" w:cstheme="minorHAnsi"/>
          <w:iCs/>
          <w:lang w:val="en-US" w:bidi="ar-DZ"/>
        </w:rPr>
        <w:t xml:space="preserve"> is not just a word</w:t>
      </w:r>
      <w:r>
        <w:rPr>
          <w:rFonts w:asciiTheme="minorHAnsi" w:hAnsiTheme="minorHAnsi" w:cstheme="minorHAnsi"/>
          <w:iCs/>
          <w:lang w:val="en-US" w:bidi="ar-DZ"/>
        </w:rPr>
        <w:t xml:space="preserve">, </w:t>
      </w:r>
      <w:r w:rsidRPr="00E60AA5">
        <w:rPr>
          <w:rFonts w:asciiTheme="minorHAnsi" w:hAnsiTheme="minorHAnsi" w:cstheme="minorHAnsi"/>
          <w:iCs/>
          <w:lang w:val="en-US" w:bidi="ar-DZ"/>
        </w:rPr>
        <w:t>we check in on each other, on guests, and on the village. That’s our standard of service.” Guests responded to this ethos; one visitor remarked in feedback captured during fieldwork, “I felt hosted by a village, not just a lodge. The care here is genuine.” This cultural grounding has improved cohesion, reduced staff turnover, and lifted guest satisfaction, even amid external shocks.</w:t>
      </w:r>
    </w:p>
    <w:p w14:paraId="14E39F0B" w14:textId="29F22E77" w:rsidR="00E60AA5" w:rsidRPr="00E60AA5" w:rsidRDefault="00E60AA5" w:rsidP="00E60AA5">
      <w:pPr>
        <w:spacing w:before="200" w:line="276" w:lineRule="auto"/>
        <w:ind w:left="-15"/>
        <w:jc w:val="both"/>
        <w:rPr>
          <w:rFonts w:asciiTheme="minorHAnsi" w:hAnsiTheme="minorHAnsi" w:cstheme="minorHAnsi"/>
          <w:iCs/>
          <w:lang w:val="en-US" w:bidi="ar-DZ"/>
        </w:rPr>
      </w:pPr>
      <w:r w:rsidRPr="00E60AA5">
        <w:rPr>
          <w:rFonts w:asciiTheme="minorHAnsi" w:hAnsiTheme="minorHAnsi" w:cstheme="minorHAnsi"/>
          <w:iCs/>
          <w:lang w:val="en-US" w:bidi="ar-DZ"/>
        </w:rPr>
        <w:t>The co-design talanoa process translated shared values into concrete improvements. Together with community members, staff co-created interpretive storytelling materials that highlight local history, protocols, and ecological knowledge, and introduced safety signage and briefings that reflect both maritime best practice and Vanua protocols. A boat captain described the shift: “Our safety talk now includes tides and wind, but also how to show respect when we visit a site. It keeps people safe and shows who we are.” A provincial officer who attended a session observed, “This is coherence from the ground up</w:t>
      </w:r>
      <w:r>
        <w:rPr>
          <w:rFonts w:asciiTheme="minorHAnsi" w:hAnsiTheme="minorHAnsi" w:cstheme="minorHAnsi"/>
          <w:iCs/>
          <w:lang w:val="en-US" w:bidi="ar-DZ"/>
        </w:rPr>
        <w:t xml:space="preserve">, </w:t>
      </w:r>
      <w:r w:rsidRPr="00E60AA5">
        <w:rPr>
          <w:rFonts w:asciiTheme="minorHAnsi" w:hAnsiTheme="minorHAnsi" w:cstheme="minorHAnsi"/>
          <w:iCs/>
          <w:lang w:val="en-US" w:bidi="ar-DZ"/>
        </w:rPr>
        <w:t>culture first, then operations. It’s why they’re still here after cyclones and COVID.”</w:t>
      </w:r>
    </w:p>
    <w:p w14:paraId="765217C3" w14:textId="574533A5" w:rsidR="00C13D81" w:rsidRDefault="00E60AA5" w:rsidP="00E60AA5">
      <w:pPr>
        <w:spacing w:before="200" w:line="276" w:lineRule="auto"/>
        <w:ind w:left="-15"/>
        <w:jc w:val="both"/>
        <w:rPr>
          <w:rFonts w:asciiTheme="minorHAnsi" w:hAnsiTheme="minorHAnsi" w:cstheme="minorHAnsi"/>
          <w:iCs/>
          <w:lang w:val="en-US" w:bidi="ar-DZ"/>
        </w:rPr>
      </w:pPr>
      <w:r w:rsidRPr="00E60AA5">
        <w:rPr>
          <w:rFonts w:asciiTheme="minorHAnsi" w:hAnsiTheme="minorHAnsi" w:cstheme="minorHAnsi"/>
          <w:iCs/>
          <w:lang w:val="en-US" w:bidi="ar-DZ"/>
        </w:rPr>
        <w:t>Challenges persist</w:t>
      </w:r>
      <w:r>
        <w:rPr>
          <w:rFonts w:asciiTheme="minorHAnsi" w:hAnsiTheme="minorHAnsi" w:cstheme="minorHAnsi"/>
          <w:iCs/>
          <w:lang w:val="en-US" w:bidi="ar-DZ"/>
        </w:rPr>
        <w:t>, including training gaps in advanced hospitality skills, compliance burdens, and uneven policy alignment across departments, which</w:t>
      </w:r>
      <w:r w:rsidRPr="00E60AA5">
        <w:rPr>
          <w:rFonts w:asciiTheme="minorHAnsi" w:hAnsiTheme="minorHAnsi" w:cstheme="minorHAnsi"/>
          <w:iCs/>
          <w:lang w:val="en-US" w:bidi="ar-DZ"/>
        </w:rPr>
        <w:t xml:space="preserve"> can slow progress. Even so, the model has prevailed since 2006, </w:t>
      </w:r>
      <w:r>
        <w:rPr>
          <w:rFonts w:asciiTheme="minorHAnsi" w:hAnsiTheme="minorHAnsi" w:cstheme="minorHAnsi"/>
          <w:iCs/>
          <w:lang w:val="en-US" w:bidi="ar-DZ"/>
        </w:rPr>
        <w:t>demonstrating both adaptability and durability</w:t>
      </w:r>
      <w:r w:rsidRPr="00E60AA5">
        <w:rPr>
          <w:rFonts w:asciiTheme="minorHAnsi" w:hAnsiTheme="minorHAnsi" w:cstheme="minorHAnsi"/>
          <w:iCs/>
          <w:lang w:val="en-US" w:bidi="ar-DZ"/>
        </w:rPr>
        <w:t xml:space="preserve">. As one elder concluded, “Tourism will come and go with the wind, but if we hold to </w:t>
      </w:r>
      <w:proofErr w:type="spellStart"/>
      <w:r w:rsidRPr="00E60AA5">
        <w:rPr>
          <w:rFonts w:asciiTheme="minorHAnsi" w:hAnsiTheme="minorHAnsi" w:cstheme="minorHAnsi"/>
          <w:iCs/>
          <w:lang w:val="en-US" w:bidi="ar-DZ"/>
        </w:rPr>
        <w:lastRenderedPageBreak/>
        <w:t>veiwekani</w:t>
      </w:r>
      <w:proofErr w:type="spellEnd"/>
      <w:r w:rsidRPr="00E60AA5">
        <w:rPr>
          <w:rFonts w:asciiTheme="minorHAnsi" w:hAnsiTheme="minorHAnsi" w:cstheme="minorHAnsi"/>
          <w:iCs/>
          <w:lang w:val="en-US" w:bidi="ar-DZ"/>
        </w:rPr>
        <w:t xml:space="preserve"> and </w:t>
      </w:r>
      <w:proofErr w:type="spellStart"/>
      <w:r w:rsidRPr="00E60AA5">
        <w:rPr>
          <w:rFonts w:asciiTheme="minorHAnsi" w:hAnsiTheme="minorHAnsi" w:cstheme="minorHAnsi"/>
          <w:iCs/>
          <w:lang w:val="en-US" w:bidi="ar-DZ"/>
        </w:rPr>
        <w:t>veilomani</w:t>
      </w:r>
      <w:proofErr w:type="spellEnd"/>
      <w:r w:rsidRPr="00E60AA5">
        <w:rPr>
          <w:rFonts w:asciiTheme="minorHAnsi" w:hAnsiTheme="minorHAnsi" w:cstheme="minorHAnsi"/>
          <w:iCs/>
          <w:lang w:val="en-US" w:bidi="ar-DZ"/>
        </w:rPr>
        <w:t>, the benefits will keep circling through the Vanua.”</w:t>
      </w:r>
    </w:p>
    <w:p w14:paraId="0DDA5B81" w14:textId="77777777" w:rsidR="00E60AA5" w:rsidRPr="00C13D81" w:rsidRDefault="00E60AA5" w:rsidP="00E60AA5">
      <w:pPr>
        <w:spacing w:before="200" w:line="276" w:lineRule="auto"/>
        <w:ind w:left="-15"/>
        <w:jc w:val="both"/>
        <w:rPr>
          <w:rFonts w:asciiTheme="minorHAnsi" w:hAnsiTheme="minorHAnsi" w:cstheme="minorHAnsi"/>
          <w:iCs/>
          <w:lang w:val="en-US" w:bidi="ar-DZ"/>
        </w:rPr>
      </w:pPr>
    </w:p>
    <w:tbl>
      <w:tblPr>
        <w:tblStyle w:val="a0"/>
        <w:tblW w:w="5145" w:type="dxa"/>
        <w:tblInd w:w="-45" w:type="dxa"/>
        <w:tblLayout w:type="fixed"/>
        <w:tblLook w:val="0000" w:firstRow="0" w:lastRow="0" w:firstColumn="0" w:lastColumn="0" w:noHBand="0" w:noVBand="0"/>
      </w:tblPr>
      <w:tblGrid>
        <w:gridCol w:w="5145"/>
      </w:tblGrid>
      <w:tr w:rsidR="00165F36" w14:paraId="052EB0E6" w14:textId="77777777">
        <w:trPr>
          <w:trHeight w:val="80"/>
        </w:trPr>
        <w:tc>
          <w:tcPr>
            <w:tcW w:w="5145" w:type="dxa"/>
          </w:tcPr>
          <w:p w14:paraId="48C123EB" w14:textId="77777777" w:rsidR="005226E9" w:rsidRPr="00A62056" w:rsidRDefault="005226E9" w:rsidP="00C13D81">
            <w:pPr>
              <w:pStyle w:val="BulletPoints"/>
              <w:tabs>
                <w:tab w:val="clear" w:pos="720"/>
              </w:tabs>
              <w:ind w:left="0"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Implications</w:t>
            </w:r>
          </w:p>
          <w:p w14:paraId="678CAAEC" w14:textId="768B2030" w:rsidR="00C13D81" w:rsidRPr="00C13D81" w:rsidRDefault="00C13D81" w:rsidP="00C13D81">
            <w:pPr>
              <w:spacing w:after="200" w:line="276" w:lineRule="auto"/>
              <w:jc w:val="both"/>
              <w:rPr>
                <w:rFonts w:ascii="Calibri" w:eastAsia="MS Mincho" w:hAnsi="Calibri" w:cs="Times New Roman"/>
                <w:lang w:val="en-US"/>
              </w:rPr>
            </w:pPr>
            <w:r w:rsidRPr="00C13D81">
              <w:rPr>
                <w:rFonts w:ascii="Calibri" w:eastAsia="MS Mincho" w:hAnsi="Calibri" w:cs="Times New Roman"/>
                <w:lang w:val="en-US"/>
              </w:rPr>
              <w:t xml:space="preserve">A clear national policy framework for CBT is urgently needed. Ministries of Tourism, iTaukei Affairs, and Rural Development should </w:t>
            </w:r>
            <w:proofErr w:type="spellStart"/>
            <w:r w:rsidR="009C6DBE">
              <w:rPr>
                <w:rFonts w:ascii="Calibri" w:eastAsia="MS Mincho" w:hAnsi="Calibri" w:cs="Times New Roman"/>
                <w:lang w:val="en-US"/>
              </w:rPr>
              <w:t>formalise</w:t>
            </w:r>
            <w:proofErr w:type="spellEnd"/>
            <w:r w:rsidR="009C6DBE">
              <w:rPr>
                <w:rFonts w:ascii="Calibri" w:eastAsia="MS Mincho" w:hAnsi="Calibri" w:cs="Times New Roman"/>
                <w:lang w:val="en-US"/>
              </w:rPr>
              <w:t xml:space="preserve"> a National CBT Support Framework to align resources, </w:t>
            </w:r>
            <w:proofErr w:type="spellStart"/>
            <w:r w:rsidR="009C6DBE">
              <w:rPr>
                <w:rFonts w:ascii="Calibri" w:eastAsia="MS Mincho" w:hAnsi="Calibri" w:cs="Times New Roman"/>
                <w:lang w:val="en-US"/>
              </w:rPr>
              <w:t>standardise</w:t>
            </w:r>
            <w:proofErr w:type="spellEnd"/>
            <w:r w:rsidRPr="00C13D81">
              <w:rPr>
                <w:rFonts w:ascii="Calibri" w:eastAsia="MS Mincho" w:hAnsi="Calibri" w:cs="Times New Roman"/>
                <w:lang w:val="en-US"/>
              </w:rPr>
              <w:t xml:space="preserve"> training, and integrate community enterprises into mainstream tourism strategies.</w:t>
            </w:r>
          </w:p>
          <w:p w14:paraId="1A8603B1" w14:textId="77777777" w:rsidR="00C13D81" w:rsidRPr="00C13D81" w:rsidRDefault="00C13D81" w:rsidP="00C13D81">
            <w:pPr>
              <w:spacing w:after="200" w:line="276" w:lineRule="auto"/>
              <w:jc w:val="both"/>
              <w:rPr>
                <w:rFonts w:ascii="Calibri" w:eastAsia="MS Mincho" w:hAnsi="Calibri" w:cs="Times New Roman"/>
                <w:lang w:val="en-US"/>
              </w:rPr>
            </w:pPr>
            <w:r w:rsidRPr="00C13D81">
              <w:rPr>
                <w:rFonts w:ascii="Calibri" w:eastAsia="MS Mincho" w:hAnsi="Calibri" w:cs="Times New Roman"/>
                <w:lang w:val="en-US"/>
              </w:rPr>
              <w:t>Expanding Vanua-based hospitality training will ensure that CBT operators acquire both technical and cultural competencies. Partnerships between training institutions and local enterprises can help communities deliver consistent service quality, maintain safety standards, and adapt to changing visitor expectations.</w:t>
            </w:r>
          </w:p>
          <w:p w14:paraId="22485C9E" w14:textId="77777777" w:rsidR="00C13D81" w:rsidRPr="00C13D81" w:rsidRDefault="00C13D81" w:rsidP="00C13D81">
            <w:pPr>
              <w:spacing w:after="200" w:line="276" w:lineRule="auto"/>
              <w:jc w:val="both"/>
              <w:rPr>
                <w:rFonts w:ascii="Calibri" w:eastAsia="MS Mincho" w:hAnsi="Calibri" w:cs="Times New Roman"/>
                <w:lang w:val="en-US"/>
              </w:rPr>
            </w:pPr>
            <w:r w:rsidRPr="00C13D81">
              <w:rPr>
                <w:rFonts w:ascii="Calibri" w:eastAsia="MS Mincho" w:hAnsi="Calibri" w:cs="Times New Roman"/>
                <w:lang w:val="en-US"/>
              </w:rPr>
              <w:t>Academic institutions and policy agencies should establish continuous feedback loops through Action Research collaborations. Integrating research insights into policy design will foster evidence-based decision-making and reduce program fragmentation. Effective implementation will yield improved livelihoods, enhanced cultural pride, and stronger national tourism resilience.</w:t>
            </w:r>
          </w:p>
          <w:p w14:paraId="35D67CC7" w14:textId="77777777" w:rsidR="005226E9" w:rsidRPr="00A62056" w:rsidRDefault="005226E9" w:rsidP="00C13D81">
            <w:pPr>
              <w:pStyle w:val="BulletPoints"/>
              <w:tabs>
                <w:tab w:val="clear" w:pos="720"/>
              </w:tabs>
              <w:ind w:left="0"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Limitations and further research</w:t>
            </w:r>
          </w:p>
          <w:p w14:paraId="6D96ED27" w14:textId="2E4CAA19" w:rsidR="00C13D81" w:rsidRDefault="00C13D81" w:rsidP="00C13D81">
            <w:pPr>
              <w:spacing w:after="200" w:line="276" w:lineRule="auto"/>
              <w:jc w:val="both"/>
              <w:rPr>
                <w:rFonts w:ascii="Calibri" w:eastAsia="MS Mincho" w:hAnsi="Calibri" w:cs="Times New Roman"/>
                <w:lang w:val="en-US"/>
              </w:rPr>
            </w:pPr>
            <w:r w:rsidRPr="00C13D81">
              <w:rPr>
                <w:rFonts w:ascii="Calibri" w:eastAsia="MS Mincho" w:hAnsi="Calibri" w:cs="Times New Roman"/>
                <w:lang w:val="en-US"/>
              </w:rPr>
              <w:t xml:space="preserve">While the Natalei </w:t>
            </w:r>
            <w:r w:rsidR="009C6DBE">
              <w:rPr>
                <w:rFonts w:ascii="Calibri" w:eastAsia="MS Mincho" w:hAnsi="Calibri" w:cs="Times New Roman"/>
                <w:lang w:val="en-US"/>
              </w:rPr>
              <w:t>Experience</w:t>
            </w:r>
            <w:r w:rsidRPr="00C13D81">
              <w:rPr>
                <w:rFonts w:ascii="Calibri" w:eastAsia="MS Mincho" w:hAnsi="Calibri" w:cs="Times New Roman"/>
                <w:lang w:val="en-US"/>
              </w:rPr>
              <w:t xml:space="preserve"> case study provides valuable insights, its findings may not represent all CBT experiences across Fiji. Future research should compare multiple sites to capture </w:t>
            </w:r>
            <w:r w:rsidR="009C6DBE">
              <w:rPr>
                <w:rFonts w:ascii="Calibri" w:eastAsia="MS Mincho" w:hAnsi="Calibri" w:cs="Times New Roman"/>
                <w:lang w:val="en-US"/>
              </w:rPr>
              <w:t>variations in governance and the environment</w:t>
            </w:r>
            <w:r w:rsidRPr="00C13D81">
              <w:rPr>
                <w:rFonts w:ascii="Calibri" w:eastAsia="MS Mincho" w:hAnsi="Calibri" w:cs="Times New Roman"/>
                <w:lang w:val="en-US"/>
              </w:rPr>
              <w:t>. Quantitative assessments of visitor satisfaction and economic performance would complement current qualitative insights.</w:t>
            </w:r>
          </w:p>
          <w:p w14:paraId="774CA09C" w14:textId="77777777" w:rsidR="008D1698" w:rsidRDefault="008D1698" w:rsidP="008D1698">
            <w:pPr>
              <w:keepNext/>
              <w:spacing w:after="200" w:line="276" w:lineRule="auto"/>
              <w:jc w:val="both"/>
            </w:pPr>
            <w:r w:rsidRPr="008D1698">
              <w:rPr>
                <w:rFonts w:ascii="Calibri" w:eastAsia="MS Mincho" w:hAnsi="Calibri" w:cs="Times New Roman"/>
                <w:noProof/>
                <w:lang w:val="en-AU"/>
              </w:rPr>
              <w:drawing>
                <wp:inline distT="0" distB="0" distL="0" distR="0" wp14:anchorId="5531EFF2" wp14:editId="7ABB9109">
                  <wp:extent cx="3121025" cy="2340610"/>
                  <wp:effectExtent l="0" t="0" r="3175" b="2540"/>
                  <wp:docPr id="9350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1025" cy="2340610"/>
                          </a:xfrm>
                          <a:prstGeom prst="rect">
                            <a:avLst/>
                          </a:prstGeom>
                          <a:noFill/>
                          <a:ln>
                            <a:noFill/>
                          </a:ln>
                        </pic:spPr>
                      </pic:pic>
                    </a:graphicData>
                  </a:graphic>
                </wp:inline>
              </w:drawing>
            </w:r>
          </w:p>
          <w:p w14:paraId="77CEF28C" w14:textId="5D93EC07" w:rsidR="008D1698" w:rsidRPr="008D1698" w:rsidRDefault="008D1698" w:rsidP="008D1698">
            <w:pPr>
              <w:pStyle w:val="Caption"/>
              <w:jc w:val="both"/>
              <w:rPr>
                <w:rFonts w:ascii="Calibri" w:eastAsia="MS Mincho" w:hAnsi="Calibri" w:cs="Times New Roman"/>
                <w:lang w:val="en-AU"/>
              </w:rPr>
            </w:pPr>
            <w:r>
              <w:t xml:space="preserve">Figure </w:t>
            </w:r>
            <w:fldSimple w:instr=" SEQ Figure \* ARABIC ">
              <w:r>
                <w:rPr>
                  <w:noProof/>
                </w:rPr>
                <w:t>1</w:t>
              </w:r>
            </w:fldSimple>
            <w:r>
              <w:t>: Adi Elenoa conducting interview with a hotel worker</w:t>
            </w:r>
          </w:p>
          <w:p w14:paraId="5214EE73" w14:textId="77777777" w:rsidR="00C13D81" w:rsidRPr="00C13D81" w:rsidRDefault="00C13D81" w:rsidP="00C13D81">
            <w:pPr>
              <w:spacing w:after="200" w:line="276" w:lineRule="auto"/>
              <w:jc w:val="both"/>
              <w:rPr>
                <w:rFonts w:ascii="Calibri" w:eastAsia="MS Mincho" w:hAnsi="Calibri" w:cs="Times New Roman"/>
                <w:lang w:val="en-US"/>
              </w:rPr>
            </w:pPr>
            <w:r w:rsidRPr="00C13D81">
              <w:rPr>
                <w:rFonts w:ascii="Calibri" w:eastAsia="MS Mincho" w:hAnsi="Calibri" w:cs="Times New Roman"/>
                <w:lang w:val="en-US"/>
              </w:rPr>
              <w:t>Further investigation into the climate resilience of CBT operations and their role in environmental stewardship is needed. Policymakers and researchers must continue exploring how culturally grounded models can shape the next generation of sustainable tourism in the Pacific.</w:t>
            </w:r>
          </w:p>
          <w:p w14:paraId="37A2EAC8" w14:textId="77777777" w:rsidR="00165F36" w:rsidRPr="00C13D81" w:rsidRDefault="00165F36" w:rsidP="00C13D81">
            <w:pPr>
              <w:spacing w:line="276" w:lineRule="auto"/>
              <w:jc w:val="both"/>
              <w:rPr>
                <w:rFonts w:ascii="Calibri" w:eastAsia="Calibri" w:hAnsi="Calibri" w:cs="Calibri"/>
                <w:lang w:val="en-US"/>
              </w:rPr>
            </w:pPr>
          </w:p>
          <w:p w14:paraId="3659D599" w14:textId="77777777" w:rsidR="00165F36" w:rsidRDefault="00165F36" w:rsidP="00C13D81">
            <w:pPr>
              <w:spacing w:line="276" w:lineRule="auto"/>
              <w:jc w:val="both"/>
              <w:rPr>
                <w:rFonts w:ascii="Calibri" w:eastAsia="Calibri" w:hAnsi="Calibri" w:cs="Calibri"/>
              </w:rPr>
            </w:pPr>
          </w:p>
          <w:p w14:paraId="2D30CE48" w14:textId="77777777" w:rsidR="00165F36" w:rsidRDefault="00165F36" w:rsidP="00C13D81">
            <w:pPr>
              <w:spacing w:line="276" w:lineRule="auto"/>
              <w:jc w:val="both"/>
              <w:rPr>
                <w:rFonts w:ascii="Calibri" w:eastAsia="Calibri" w:hAnsi="Calibri" w:cs="Calibri"/>
              </w:rPr>
            </w:pPr>
          </w:p>
          <w:p w14:paraId="0549A13C" w14:textId="77777777" w:rsidR="00165F36" w:rsidRDefault="00165F36" w:rsidP="00C13D81">
            <w:pPr>
              <w:spacing w:line="276" w:lineRule="auto"/>
              <w:jc w:val="both"/>
              <w:rPr>
                <w:rFonts w:ascii="Calibri" w:eastAsia="Calibri" w:hAnsi="Calibri" w:cs="Calibri"/>
              </w:rPr>
            </w:pPr>
          </w:p>
          <w:p w14:paraId="682E5B5D" w14:textId="77777777" w:rsidR="00165F36" w:rsidRDefault="00165F36" w:rsidP="00C13D81">
            <w:pPr>
              <w:spacing w:before="240" w:after="240" w:line="276" w:lineRule="auto"/>
              <w:jc w:val="both"/>
              <w:rPr>
                <w:rFonts w:ascii="Calibri" w:eastAsia="Calibri" w:hAnsi="Calibri" w:cs="Calibri"/>
                <w:b/>
                <w:color w:val="006600"/>
              </w:rPr>
            </w:pPr>
          </w:p>
          <w:p w14:paraId="5573ECEE" w14:textId="77777777" w:rsidR="00165F36" w:rsidRDefault="00165F36" w:rsidP="00C13D81">
            <w:pPr>
              <w:spacing w:before="240" w:after="240" w:line="276" w:lineRule="auto"/>
              <w:jc w:val="both"/>
              <w:rPr>
                <w:rFonts w:ascii="Calibri" w:eastAsia="Calibri" w:hAnsi="Calibri" w:cs="Calibri"/>
                <w:b/>
                <w:color w:val="006600"/>
              </w:rPr>
            </w:pPr>
          </w:p>
          <w:p w14:paraId="0C565DAE" w14:textId="77777777" w:rsidR="00165F36" w:rsidRDefault="00165F36" w:rsidP="00C13D81">
            <w:pPr>
              <w:spacing w:before="240" w:after="240" w:line="276" w:lineRule="auto"/>
              <w:jc w:val="both"/>
              <w:rPr>
                <w:rFonts w:ascii="Calibri" w:eastAsia="Calibri" w:hAnsi="Calibri" w:cs="Calibri"/>
              </w:rPr>
            </w:pPr>
          </w:p>
          <w:p w14:paraId="68548665" w14:textId="77777777" w:rsidR="00165F36" w:rsidRDefault="00165F36" w:rsidP="00C13D81">
            <w:pPr>
              <w:spacing w:before="200" w:line="276" w:lineRule="auto"/>
              <w:ind w:left="-15"/>
              <w:jc w:val="both"/>
              <w:rPr>
                <w:rFonts w:ascii="Calibri" w:eastAsia="Calibri" w:hAnsi="Calibri" w:cs="Calibri"/>
              </w:rPr>
            </w:pPr>
          </w:p>
          <w:p w14:paraId="0DB4B4A6" w14:textId="77777777" w:rsidR="00165F36" w:rsidRDefault="00165F36" w:rsidP="00C13D81">
            <w:pPr>
              <w:spacing w:before="240" w:after="240" w:line="276" w:lineRule="auto"/>
              <w:jc w:val="both"/>
              <w:rPr>
                <w:rFonts w:ascii="Calibri" w:eastAsia="Calibri" w:hAnsi="Calibri" w:cs="Calibri"/>
              </w:rPr>
            </w:pPr>
          </w:p>
          <w:p w14:paraId="6883039E" w14:textId="77777777" w:rsidR="00165F36" w:rsidRDefault="00165F36" w:rsidP="00C13D81">
            <w:pPr>
              <w:spacing w:before="200" w:line="276" w:lineRule="auto"/>
              <w:ind w:left="-15"/>
              <w:jc w:val="both"/>
              <w:rPr>
                <w:rFonts w:ascii="Calibri" w:eastAsia="Calibri" w:hAnsi="Calibri" w:cs="Calibri"/>
              </w:rPr>
            </w:pPr>
          </w:p>
        </w:tc>
      </w:tr>
      <w:tr w:rsidR="00165F36" w14:paraId="5541D28B" w14:textId="77777777">
        <w:tc>
          <w:tcPr>
            <w:tcW w:w="5145" w:type="dxa"/>
          </w:tcPr>
          <w:p w14:paraId="6B451BA1" w14:textId="77777777" w:rsidR="00165F36" w:rsidRDefault="00165F36" w:rsidP="00C13D81">
            <w:pPr>
              <w:spacing w:before="200" w:line="276" w:lineRule="auto"/>
              <w:ind w:left="-15"/>
              <w:jc w:val="both"/>
              <w:rPr>
                <w:rFonts w:ascii="Calibri" w:eastAsia="Calibri" w:hAnsi="Calibri" w:cs="Calibri"/>
              </w:rPr>
            </w:pPr>
          </w:p>
        </w:tc>
      </w:tr>
      <w:tr w:rsidR="00165F36" w14:paraId="2DA5441F" w14:textId="77777777">
        <w:tc>
          <w:tcPr>
            <w:tcW w:w="5145" w:type="dxa"/>
          </w:tcPr>
          <w:p w14:paraId="5936FD6E" w14:textId="77777777" w:rsidR="00165F36" w:rsidRDefault="00165F36" w:rsidP="00C13D81">
            <w:pPr>
              <w:pBdr>
                <w:top w:val="nil"/>
                <w:left w:val="nil"/>
                <w:bottom w:val="nil"/>
                <w:right w:val="nil"/>
                <w:between w:val="nil"/>
              </w:pBdr>
              <w:spacing w:line="276" w:lineRule="auto"/>
              <w:ind w:left="720" w:hanging="720"/>
              <w:jc w:val="both"/>
              <w:rPr>
                <w:rFonts w:ascii="Calibri" w:eastAsia="Calibri" w:hAnsi="Calibri" w:cs="Calibri"/>
                <w:color w:val="000000"/>
              </w:rPr>
            </w:pPr>
          </w:p>
        </w:tc>
      </w:tr>
      <w:tr w:rsidR="00165F36" w14:paraId="1D6A9312" w14:textId="77777777">
        <w:tc>
          <w:tcPr>
            <w:tcW w:w="5145" w:type="dxa"/>
          </w:tcPr>
          <w:p w14:paraId="383326F7" w14:textId="77777777" w:rsidR="00165F36" w:rsidRDefault="00165F36" w:rsidP="00C13D81">
            <w:pPr>
              <w:pBdr>
                <w:top w:val="nil"/>
                <w:left w:val="nil"/>
                <w:bottom w:val="nil"/>
                <w:right w:val="nil"/>
                <w:between w:val="nil"/>
              </w:pBdr>
              <w:spacing w:line="276" w:lineRule="auto"/>
              <w:ind w:left="720" w:hanging="720"/>
              <w:jc w:val="both"/>
              <w:rPr>
                <w:rFonts w:ascii="Calibri" w:eastAsia="Calibri" w:hAnsi="Calibri" w:cs="Calibri"/>
                <w:color w:val="000000"/>
              </w:rPr>
            </w:pPr>
          </w:p>
        </w:tc>
      </w:tr>
    </w:tbl>
    <w:p w14:paraId="1C98DC01" w14:textId="77777777" w:rsidR="00165F36" w:rsidRDefault="00165F36" w:rsidP="00C13D81">
      <w:pPr>
        <w:pBdr>
          <w:top w:val="nil"/>
          <w:left w:val="nil"/>
          <w:bottom w:val="nil"/>
          <w:right w:val="nil"/>
          <w:between w:val="nil"/>
        </w:pBdr>
        <w:spacing w:after="240" w:line="276" w:lineRule="auto"/>
        <w:ind w:left="720" w:right="1134" w:hanging="720"/>
        <w:jc w:val="both"/>
        <w:rPr>
          <w:rFonts w:ascii="Calibri" w:eastAsia="Calibri" w:hAnsi="Calibri" w:cs="Calibri"/>
          <w:b/>
          <w:color w:val="000000"/>
        </w:rPr>
        <w:sectPr w:rsidR="00165F36">
          <w:type w:val="continuous"/>
          <w:pgSz w:w="11907" w:h="16840"/>
          <w:pgMar w:top="1440" w:right="851" w:bottom="851" w:left="851" w:header="135" w:footer="0" w:gutter="0"/>
          <w:cols w:num="2" w:space="720" w:equalWidth="0">
            <w:col w:w="4742" w:space="720"/>
            <w:col w:w="4742" w:space="0"/>
          </w:cols>
          <w:titlePg/>
        </w:sectPr>
      </w:pPr>
    </w:p>
    <w:p w14:paraId="2F3CCA43" w14:textId="77777777" w:rsidR="00165F36" w:rsidRDefault="00165F36" w:rsidP="00C13D81">
      <w:pPr>
        <w:pBdr>
          <w:top w:val="nil"/>
          <w:left w:val="nil"/>
          <w:bottom w:val="nil"/>
          <w:right w:val="nil"/>
          <w:between w:val="nil"/>
        </w:pBdr>
        <w:spacing w:after="240" w:line="276" w:lineRule="auto"/>
        <w:ind w:right="1134"/>
        <w:jc w:val="both"/>
        <w:rPr>
          <w:rFonts w:ascii="Calibri" w:eastAsia="Calibri" w:hAnsi="Calibri" w:cs="Calibri"/>
          <w:b/>
          <w:color w:val="864EA8"/>
        </w:rPr>
        <w:sectPr w:rsidR="00165F36">
          <w:headerReference w:type="default" r:id="rId16"/>
          <w:type w:val="continuous"/>
          <w:pgSz w:w="11907" w:h="16840"/>
          <w:pgMar w:top="1440" w:right="851" w:bottom="1440" w:left="851" w:header="0" w:footer="0" w:gutter="0"/>
          <w:cols w:space="720"/>
        </w:sectPr>
      </w:pPr>
    </w:p>
    <w:p w14:paraId="52F40EE7" w14:textId="77777777" w:rsidR="002179BC" w:rsidRDefault="002179BC" w:rsidP="00C13D81">
      <w:pPr>
        <w:pStyle w:val="Heading1"/>
        <w:spacing w:after="0" w:line="276" w:lineRule="auto"/>
        <w:jc w:val="both"/>
        <w:rPr>
          <w:rFonts w:ascii="Calibri" w:eastAsia="Calibri" w:hAnsi="Calibri" w:cs="Calibri"/>
          <w:b w:val="0"/>
          <w:color w:val="006600"/>
          <w:sz w:val="22"/>
        </w:rPr>
      </w:pPr>
      <w:bookmarkStart w:id="1" w:name="_heading=h.44sinio" w:colFirst="0" w:colLast="0"/>
      <w:bookmarkEnd w:id="1"/>
    </w:p>
    <w:tbl>
      <w:tblPr>
        <w:tblW w:w="9468" w:type="dxa"/>
        <w:tblLayout w:type="fixed"/>
        <w:tblLook w:val="0000" w:firstRow="0" w:lastRow="0" w:firstColumn="0" w:lastColumn="0" w:noHBand="0" w:noVBand="0"/>
      </w:tblPr>
      <w:tblGrid>
        <w:gridCol w:w="9468"/>
      </w:tblGrid>
      <w:tr w:rsidR="002179BC" w:rsidRPr="00165486" w14:paraId="2658C5DB" w14:textId="77777777" w:rsidTr="00185D04">
        <w:trPr>
          <w:trHeight w:val="1137"/>
        </w:trPr>
        <w:tc>
          <w:tcPr>
            <w:tcW w:w="9468" w:type="dxa"/>
          </w:tcPr>
          <w:p w14:paraId="2C6D9D6D" w14:textId="77777777" w:rsidR="002179BC" w:rsidRPr="00A62056" w:rsidRDefault="002179BC" w:rsidP="00C13D81">
            <w:pPr>
              <w:pStyle w:val="BulletPoints"/>
              <w:tabs>
                <w:tab w:val="clear" w:pos="720"/>
              </w:tabs>
              <w:ind w:left="0" w:right="1134"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References</w:t>
            </w:r>
          </w:p>
          <w:p w14:paraId="1CAF69C5" w14:textId="17F13F36" w:rsidR="001A5600" w:rsidRDefault="001A5600" w:rsidP="001A5600">
            <w:pPr>
              <w:pStyle w:val="ListParagraph"/>
              <w:numPr>
                <w:ilvl w:val="0"/>
                <w:numId w:val="11"/>
              </w:numPr>
              <w:rPr>
                <w:rFonts w:asciiTheme="minorHAnsi" w:hAnsiTheme="minorHAnsi" w:cstheme="minorHAnsi"/>
                <w:iCs/>
                <w:lang w:bidi="ar-DZ"/>
              </w:rPr>
            </w:pPr>
            <w:r w:rsidRPr="001A5600">
              <w:rPr>
                <w:rFonts w:asciiTheme="minorHAnsi" w:hAnsiTheme="minorHAnsi" w:cstheme="minorHAnsi"/>
                <w:iCs/>
                <w:lang w:bidi="ar-DZ"/>
              </w:rPr>
              <w:t xml:space="preserve">Tourism Fiji. (2024). Key statistics 2024. Tourism Fiji. </w:t>
            </w:r>
            <w:hyperlink r:id="rId17" w:history="1">
              <w:r w:rsidRPr="00644B7A">
                <w:rPr>
                  <w:rStyle w:val="Hyperlink"/>
                  <w:rFonts w:asciiTheme="minorHAnsi" w:hAnsiTheme="minorHAnsi" w:cstheme="minorHAnsi"/>
                  <w:iCs/>
                  <w:lang w:bidi="ar-DZ"/>
                </w:rPr>
                <w:t>https://www.tourismfiji.com</w:t>
              </w:r>
            </w:hyperlink>
          </w:p>
          <w:p w14:paraId="6242D4B4" w14:textId="7F6D65FC" w:rsidR="001A5600" w:rsidRDefault="001A5600" w:rsidP="001A5600">
            <w:pPr>
              <w:pStyle w:val="ListParagraph"/>
              <w:numPr>
                <w:ilvl w:val="0"/>
                <w:numId w:val="11"/>
              </w:numPr>
              <w:rPr>
                <w:rFonts w:asciiTheme="minorHAnsi" w:hAnsiTheme="minorHAnsi" w:cstheme="minorHAnsi"/>
                <w:iCs/>
                <w:lang w:bidi="ar-DZ"/>
              </w:rPr>
            </w:pPr>
            <w:r w:rsidRPr="001A5600">
              <w:rPr>
                <w:rFonts w:asciiTheme="minorHAnsi" w:hAnsiTheme="minorHAnsi" w:cstheme="minorHAnsi"/>
                <w:iCs/>
                <w:lang w:bidi="ar-DZ"/>
              </w:rPr>
              <w:t xml:space="preserve">Movono, A., &amp; </w:t>
            </w:r>
            <w:proofErr w:type="spellStart"/>
            <w:r w:rsidRPr="001A5600">
              <w:rPr>
                <w:rFonts w:asciiTheme="minorHAnsi" w:hAnsiTheme="minorHAnsi" w:cstheme="minorHAnsi"/>
                <w:iCs/>
                <w:lang w:bidi="ar-DZ"/>
              </w:rPr>
              <w:t>Dahles</w:t>
            </w:r>
            <w:proofErr w:type="spellEnd"/>
            <w:r w:rsidRPr="001A5600">
              <w:rPr>
                <w:rFonts w:asciiTheme="minorHAnsi" w:hAnsiTheme="minorHAnsi" w:cstheme="minorHAnsi"/>
                <w:iCs/>
                <w:lang w:bidi="ar-DZ"/>
              </w:rPr>
              <w:t>, H. (2017). Female empowerment and tourism: a focus on businesses in a Fijian village. </w:t>
            </w:r>
            <w:r w:rsidRPr="001A5600">
              <w:rPr>
                <w:rFonts w:asciiTheme="minorHAnsi" w:hAnsiTheme="minorHAnsi" w:cstheme="minorHAnsi"/>
                <w:i/>
                <w:iCs/>
                <w:lang w:bidi="ar-DZ"/>
              </w:rPr>
              <w:t>Asia Pacific Journal of Tourism Research</w:t>
            </w:r>
            <w:r w:rsidRPr="001A5600">
              <w:rPr>
                <w:rFonts w:asciiTheme="minorHAnsi" w:hAnsiTheme="minorHAnsi" w:cstheme="minorHAnsi"/>
                <w:iCs/>
                <w:lang w:bidi="ar-DZ"/>
              </w:rPr>
              <w:t>, </w:t>
            </w:r>
            <w:r w:rsidRPr="001A5600">
              <w:rPr>
                <w:rFonts w:asciiTheme="minorHAnsi" w:hAnsiTheme="minorHAnsi" w:cstheme="minorHAnsi"/>
                <w:i/>
                <w:iCs/>
                <w:lang w:bidi="ar-DZ"/>
              </w:rPr>
              <w:t>22</w:t>
            </w:r>
            <w:r w:rsidRPr="001A5600">
              <w:rPr>
                <w:rFonts w:asciiTheme="minorHAnsi" w:hAnsiTheme="minorHAnsi" w:cstheme="minorHAnsi"/>
                <w:iCs/>
                <w:lang w:bidi="ar-DZ"/>
              </w:rPr>
              <w:t xml:space="preserve">(6), 681–692. </w:t>
            </w:r>
            <w:hyperlink r:id="rId18" w:history="1">
              <w:r w:rsidRPr="00644B7A">
                <w:rPr>
                  <w:rStyle w:val="Hyperlink"/>
                  <w:rFonts w:asciiTheme="minorHAnsi" w:hAnsiTheme="minorHAnsi" w:cstheme="minorHAnsi"/>
                  <w:iCs/>
                  <w:lang w:bidi="ar-DZ"/>
                </w:rPr>
                <w:t>https://doi.org/10.1080/10941665.2017.1308397</w:t>
              </w:r>
            </w:hyperlink>
          </w:p>
          <w:p w14:paraId="4964DE1E" w14:textId="21DF7188" w:rsidR="001A5600" w:rsidRDefault="001A5600" w:rsidP="001A5600">
            <w:pPr>
              <w:pStyle w:val="ListParagraph"/>
              <w:numPr>
                <w:ilvl w:val="0"/>
                <w:numId w:val="11"/>
              </w:numPr>
              <w:rPr>
                <w:rFonts w:asciiTheme="minorHAnsi" w:hAnsiTheme="minorHAnsi" w:cstheme="minorHAnsi"/>
                <w:iCs/>
                <w:lang w:bidi="ar-DZ"/>
              </w:rPr>
            </w:pPr>
            <w:r w:rsidRPr="001A5600">
              <w:rPr>
                <w:rFonts w:asciiTheme="minorHAnsi" w:hAnsiTheme="minorHAnsi" w:cstheme="minorHAnsi"/>
                <w:iCs/>
                <w:lang w:bidi="ar-DZ"/>
              </w:rPr>
              <w:t>Salazar, N. B. (2012). Community-based cultural tourism: Issues, threats and opportunities. Journal of sustainable tourism, 20(1), 9-22.</w:t>
            </w:r>
          </w:p>
          <w:p w14:paraId="2B82FA4B" w14:textId="7E34A345" w:rsidR="001A5600" w:rsidRDefault="001A5600" w:rsidP="001A5600">
            <w:pPr>
              <w:pStyle w:val="ListParagraph"/>
              <w:numPr>
                <w:ilvl w:val="0"/>
                <w:numId w:val="11"/>
              </w:numPr>
              <w:rPr>
                <w:rFonts w:asciiTheme="minorHAnsi" w:hAnsiTheme="minorHAnsi" w:cstheme="minorHAnsi"/>
                <w:iCs/>
                <w:lang w:bidi="ar-DZ"/>
              </w:rPr>
            </w:pPr>
            <w:proofErr w:type="spellStart"/>
            <w:r w:rsidRPr="001A5600">
              <w:rPr>
                <w:rFonts w:asciiTheme="minorHAnsi" w:hAnsiTheme="minorHAnsi" w:cstheme="minorHAnsi"/>
                <w:iCs/>
                <w:lang w:bidi="ar-DZ"/>
              </w:rPr>
              <w:t>Đurkin</w:t>
            </w:r>
            <w:proofErr w:type="spellEnd"/>
            <w:r w:rsidRPr="001A5600">
              <w:rPr>
                <w:rFonts w:asciiTheme="minorHAnsi" w:hAnsiTheme="minorHAnsi" w:cstheme="minorHAnsi"/>
                <w:iCs/>
                <w:lang w:bidi="ar-DZ"/>
              </w:rPr>
              <w:t xml:space="preserve">, J., </w:t>
            </w:r>
            <w:proofErr w:type="spellStart"/>
            <w:r w:rsidRPr="001A5600">
              <w:rPr>
                <w:rFonts w:asciiTheme="minorHAnsi" w:hAnsiTheme="minorHAnsi" w:cstheme="minorHAnsi"/>
                <w:iCs/>
                <w:lang w:bidi="ar-DZ"/>
              </w:rPr>
              <w:t>Perić</w:t>
            </w:r>
            <w:proofErr w:type="spellEnd"/>
            <w:r w:rsidRPr="001A5600">
              <w:rPr>
                <w:rFonts w:asciiTheme="minorHAnsi" w:hAnsiTheme="minorHAnsi" w:cstheme="minorHAnsi"/>
                <w:iCs/>
                <w:lang w:bidi="ar-DZ"/>
              </w:rPr>
              <w:t xml:space="preserve">, M., &amp; </w:t>
            </w:r>
            <w:proofErr w:type="spellStart"/>
            <w:r w:rsidRPr="001A5600">
              <w:rPr>
                <w:rFonts w:asciiTheme="minorHAnsi" w:hAnsiTheme="minorHAnsi" w:cstheme="minorHAnsi"/>
                <w:iCs/>
                <w:lang w:bidi="ar-DZ"/>
              </w:rPr>
              <w:t>Šebrek</w:t>
            </w:r>
            <w:proofErr w:type="spellEnd"/>
            <w:r w:rsidRPr="001A5600">
              <w:rPr>
                <w:rFonts w:asciiTheme="minorHAnsi" w:hAnsiTheme="minorHAnsi" w:cstheme="minorHAnsi"/>
                <w:iCs/>
                <w:lang w:bidi="ar-DZ"/>
              </w:rPr>
              <w:t xml:space="preserve">, J. K. (2017). Addressing organisational </w:t>
            </w:r>
            <w:proofErr w:type="spellStart"/>
            <w:r w:rsidRPr="001A5600">
              <w:rPr>
                <w:rFonts w:asciiTheme="minorHAnsi" w:hAnsiTheme="minorHAnsi" w:cstheme="minorHAnsi"/>
                <w:iCs/>
                <w:lang w:bidi="ar-DZ"/>
              </w:rPr>
              <w:t>challanges</w:t>
            </w:r>
            <w:proofErr w:type="spellEnd"/>
            <w:r w:rsidRPr="001A5600">
              <w:rPr>
                <w:rFonts w:asciiTheme="minorHAnsi" w:hAnsiTheme="minorHAnsi" w:cstheme="minorHAnsi"/>
                <w:iCs/>
                <w:lang w:bidi="ar-DZ"/>
              </w:rPr>
              <w:t xml:space="preserve"> of cultural tourism in rural areas through community-based tourism model. Tourism in Southern and Eastern Europe..., 4, 145-157.</w:t>
            </w:r>
          </w:p>
          <w:p w14:paraId="0270D645" w14:textId="67D6A2BE" w:rsidR="001A5600" w:rsidRDefault="001A5600" w:rsidP="001A5600">
            <w:pPr>
              <w:pStyle w:val="ListParagraph"/>
              <w:numPr>
                <w:ilvl w:val="0"/>
                <w:numId w:val="11"/>
              </w:numPr>
              <w:rPr>
                <w:rFonts w:asciiTheme="minorHAnsi" w:hAnsiTheme="minorHAnsi" w:cstheme="minorHAnsi"/>
                <w:iCs/>
                <w:lang w:bidi="ar-DZ"/>
              </w:rPr>
            </w:pPr>
            <w:r w:rsidRPr="001A5600">
              <w:rPr>
                <w:rFonts w:asciiTheme="minorHAnsi" w:hAnsiTheme="minorHAnsi" w:cstheme="minorHAnsi"/>
                <w:iCs/>
                <w:lang w:bidi="ar-DZ"/>
              </w:rPr>
              <w:t xml:space="preserve">Lenao, M. (2015). Challenges facing community-based cultural tourism development at </w:t>
            </w:r>
            <w:proofErr w:type="spellStart"/>
            <w:r w:rsidRPr="001A5600">
              <w:rPr>
                <w:rFonts w:asciiTheme="minorHAnsi" w:hAnsiTheme="minorHAnsi" w:cstheme="minorHAnsi"/>
                <w:iCs/>
                <w:lang w:bidi="ar-DZ"/>
              </w:rPr>
              <w:t>Lekhubu</w:t>
            </w:r>
            <w:proofErr w:type="spellEnd"/>
            <w:r w:rsidRPr="001A5600">
              <w:rPr>
                <w:rFonts w:asciiTheme="minorHAnsi" w:hAnsiTheme="minorHAnsi" w:cstheme="minorHAnsi"/>
                <w:iCs/>
                <w:lang w:bidi="ar-DZ"/>
              </w:rPr>
              <w:t xml:space="preserve"> Island, Botswana: a comparative analysis. </w:t>
            </w:r>
            <w:r w:rsidRPr="001A5600">
              <w:rPr>
                <w:rFonts w:asciiTheme="minorHAnsi" w:hAnsiTheme="minorHAnsi" w:cstheme="minorHAnsi"/>
                <w:i/>
                <w:iCs/>
                <w:lang w:bidi="ar-DZ"/>
              </w:rPr>
              <w:t>Current issues in tourism</w:t>
            </w:r>
            <w:r w:rsidRPr="001A5600">
              <w:rPr>
                <w:rFonts w:asciiTheme="minorHAnsi" w:hAnsiTheme="minorHAnsi" w:cstheme="minorHAnsi"/>
                <w:iCs/>
                <w:lang w:bidi="ar-DZ"/>
              </w:rPr>
              <w:t>, </w:t>
            </w:r>
            <w:r w:rsidRPr="001A5600">
              <w:rPr>
                <w:rFonts w:asciiTheme="minorHAnsi" w:hAnsiTheme="minorHAnsi" w:cstheme="minorHAnsi"/>
                <w:i/>
                <w:iCs/>
                <w:lang w:bidi="ar-DZ"/>
              </w:rPr>
              <w:t>18</w:t>
            </w:r>
            <w:r w:rsidRPr="001A5600">
              <w:rPr>
                <w:rFonts w:asciiTheme="minorHAnsi" w:hAnsiTheme="minorHAnsi" w:cstheme="minorHAnsi"/>
                <w:iCs/>
                <w:lang w:bidi="ar-DZ"/>
              </w:rPr>
              <w:t>(6), 579-594.</w:t>
            </w:r>
          </w:p>
          <w:p w14:paraId="0A6446F5" w14:textId="26CEC41C" w:rsidR="001A5600" w:rsidRDefault="001A5600" w:rsidP="001A5600">
            <w:pPr>
              <w:pStyle w:val="ListParagraph"/>
              <w:numPr>
                <w:ilvl w:val="0"/>
                <w:numId w:val="11"/>
              </w:numPr>
              <w:rPr>
                <w:rFonts w:asciiTheme="minorHAnsi" w:hAnsiTheme="minorHAnsi" w:cstheme="minorHAnsi"/>
                <w:iCs/>
                <w:lang w:bidi="ar-DZ"/>
              </w:rPr>
            </w:pPr>
            <w:r w:rsidRPr="008D1698">
              <w:rPr>
                <w:rFonts w:asciiTheme="minorHAnsi" w:hAnsiTheme="minorHAnsi" w:cstheme="minorHAnsi"/>
                <w:iCs/>
                <w:lang w:val="de-DE" w:bidi="ar-DZ"/>
              </w:rPr>
              <w:t xml:space="preserve">Sloan, P., Legrand, W., &amp; Simons-Kaufmann, C. (2014). </w:t>
            </w:r>
            <w:r w:rsidRPr="001A5600">
              <w:rPr>
                <w:rFonts w:asciiTheme="minorHAnsi" w:hAnsiTheme="minorHAnsi" w:cstheme="minorHAnsi"/>
                <w:iCs/>
                <w:lang w:bidi="ar-DZ"/>
              </w:rPr>
              <w:t>A survey of social entrepreneurial community-based hospitality and tourism initiatives in developing economies: A new business approach for industry. </w:t>
            </w:r>
            <w:r w:rsidRPr="001A5600">
              <w:rPr>
                <w:rFonts w:asciiTheme="minorHAnsi" w:hAnsiTheme="minorHAnsi" w:cstheme="minorHAnsi"/>
                <w:i/>
                <w:iCs/>
                <w:lang w:bidi="ar-DZ"/>
              </w:rPr>
              <w:t>Worldwide Hospitality and Tourism Themes</w:t>
            </w:r>
            <w:r w:rsidRPr="001A5600">
              <w:rPr>
                <w:rFonts w:asciiTheme="minorHAnsi" w:hAnsiTheme="minorHAnsi" w:cstheme="minorHAnsi"/>
                <w:iCs/>
                <w:lang w:bidi="ar-DZ"/>
              </w:rPr>
              <w:t>, </w:t>
            </w:r>
            <w:r w:rsidRPr="001A5600">
              <w:rPr>
                <w:rFonts w:asciiTheme="minorHAnsi" w:hAnsiTheme="minorHAnsi" w:cstheme="minorHAnsi"/>
                <w:i/>
                <w:iCs/>
                <w:lang w:bidi="ar-DZ"/>
              </w:rPr>
              <w:t>6</w:t>
            </w:r>
            <w:r w:rsidRPr="001A5600">
              <w:rPr>
                <w:rFonts w:asciiTheme="minorHAnsi" w:hAnsiTheme="minorHAnsi" w:cstheme="minorHAnsi"/>
                <w:iCs/>
                <w:lang w:bidi="ar-DZ"/>
              </w:rPr>
              <w:t>(1), 51-61.</w:t>
            </w:r>
          </w:p>
          <w:p w14:paraId="49C3530E" w14:textId="02C1A32C" w:rsidR="001A5600" w:rsidRDefault="001A5600" w:rsidP="001A5600">
            <w:pPr>
              <w:pStyle w:val="ListParagraph"/>
              <w:numPr>
                <w:ilvl w:val="0"/>
                <w:numId w:val="11"/>
              </w:numPr>
              <w:rPr>
                <w:rFonts w:asciiTheme="minorHAnsi" w:hAnsiTheme="minorHAnsi" w:cstheme="minorHAnsi"/>
                <w:iCs/>
                <w:lang w:bidi="ar-DZ"/>
              </w:rPr>
            </w:pPr>
            <w:r w:rsidRPr="008D1698">
              <w:rPr>
                <w:rFonts w:asciiTheme="minorHAnsi" w:hAnsiTheme="minorHAnsi" w:cstheme="minorHAnsi"/>
                <w:iCs/>
                <w:lang w:val="it-IT" w:bidi="ar-DZ"/>
              </w:rPr>
              <w:t xml:space="preserve">Mtapuri, O., Camilleri, M. A., &amp; Dłużewska, A. (2022). </w:t>
            </w:r>
            <w:r w:rsidRPr="001A5600">
              <w:rPr>
                <w:rFonts w:asciiTheme="minorHAnsi" w:hAnsiTheme="minorHAnsi" w:cstheme="minorHAnsi"/>
                <w:iCs/>
                <w:lang w:bidi="ar-DZ"/>
              </w:rPr>
              <w:t>Advancing community‐based tourism approaches for the sustainable development of destinations. </w:t>
            </w:r>
            <w:r w:rsidRPr="001A5600">
              <w:rPr>
                <w:rFonts w:asciiTheme="minorHAnsi" w:hAnsiTheme="minorHAnsi" w:cstheme="minorHAnsi"/>
                <w:i/>
                <w:iCs/>
                <w:lang w:bidi="ar-DZ"/>
              </w:rPr>
              <w:t>Sustainable Development</w:t>
            </w:r>
            <w:r w:rsidRPr="001A5600">
              <w:rPr>
                <w:rFonts w:asciiTheme="minorHAnsi" w:hAnsiTheme="minorHAnsi" w:cstheme="minorHAnsi"/>
                <w:iCs/>
                <w:lang w:bidi="ar-DZ"/>
              </w:rPr>
              <w:t>, </w:t>
            </w:r>
            <w:r w:rsidRPr="001A5600">
              <w:rPr>
                <w:rFonts w:asciiTheme="minorHAnsi" w:hAnsiTheme="minorHAnsi" w:cstheme="minorHAnsi"/>
                <w:i/>
                <w:iCs/>
                <w:lang w:bidi="ar-DZ"/>
              </w:rPr>
              <w:t>30</w:t>
            </w:r>
            <w:r w:rsidRPr="001A5600">
              <w:rPr>
                <w:rFonts w:asciiTheme="minorHAnsi" w:hAnsiTheme="minorHAnsi" w:cstheme="minorHAnsi"/>
                <w:iCs/>
                <w:lang w:bidi="ar-DZ"/>
              </w:rPr>
              <w:t>(3), 423-432.</w:t>
            </w:r>
          </w:p>
          <w:p w14:paraId="337D2FDC" w14:textId="67A1D1F8" w:rsidR="001A5600" w:rsidRPr="001A5600" w:rsidRDefault="001A5600" w:rsidP="001A5600">
            <w:pPr>
              <w:pStyle w:val="ListParagraph"/>
              <w:numPr>
                <w:ilvl w:val="0"/>
                <w:numId w:val="11"/>
              </w:numPr>
              <w:rPr>
                <w:rFonts w:asciiTheme="minorHAnsi" w:hAnsiTheme="minorHAnsi" w:cstheme="minorHAnsi"/>
                <w:iCs/>
                <w:lang w:bidi="ar-DZ"/>
              </w:rPr>
            </w:pPr>
            <w:r w:rsidRPr="008D1698">
              <w:rPr>
                <w:rFonts w:asciiTheme="minorHAnsi" w:hAnsiTheme="minorHAnsi" w:cstheme="minorHAnsi"/>
                <w:iCs/>
                <w:lang w:val="it-IT" w:bidi="ar-DZ"/>
              </w:rPr>
              <w:t xml:space="preserve">DA Tasci, A., Croes, R., &amp; Bartels Villanueva, J. (2014). </w:t>
            </w:r>
            <w:r w:rsidRPr="001A5600">
              <w:rPr>
                <w:rFonts w:asciiTheme="minorHAnsi" w:hAnsiTheme="minorHAnsi" w:cstheme="minorHAnsi"/>
                <w:iCs/>
                <w:lang w:bidi="ar-DZ"/>
              </w:rPr>
              <w:t>Rise and fall of community-based tourism–facilitators, inhibitors and outcomes. </w:t>
            </w:r>
            <w:r w:rsidRPr="001A5600">
              <w:rPr>
                <w:rFonts w:asciiTheme="minorHAnsi" w:hAnsiTheme="minorHAnsi" w:cstheme="minorHAnsi"/>
                <w:i/>
                <w:iCs/>
                <w:lang w:bidi="ar-DZ"/>
              </w:rPr>
              <w:t>Worldwide Hospitality and Tourism Themes</w:t>
            </w:r>
            <w:r w:rsidRPr="001A5600">
              <w:rPr>
                <w:rFonts w:asciiTheme="minorHAnsi" w:hAnsiTheme="minorHAnsi" w:cstheme="minorHAnsi"/>
                <w:iCs/>
                <w:lang w:bidi="ar-DZ"/>
              </w:rPr>
              <w:t>, </w:t>
            </w:r>
            <w:r w:rsidRPr="001A5600">
              <w:rPr>
                <w:rFonts w:asciiTheme="minorHAnsi" w:hAnsiTheme="minorHAnsi" w:cstheme="minorHAnsi"/>
                <w:i/>
                <w:iCs/>
                <w:lang w:bidi="ar-DZ"/>
              </w:rPr>
              <w:t>6</w:t>
            </w:r>
            <w:r w:rsidRPr="001A5600">
              <w:rPr>
                <w:rFonts w:asciiTheme="minorHAnsi" w:hAnsiTheme="minorHAnsi" w:cstheme="minorHAnsi"/>
                <w:iCs/>
                <w:lang w:bidi="ar-DZ"/>
              </w:rPr>
              <w:t>(3), 261-276.</w:t>
            </w:r>
          </w:p>
          <w:p w14:paraId="3A889F6C" w14:textId="77777777" w:rsidR="002179BC" w:rsidRPr="00165486" w:rsidRDefault="002179BC" w:rsidP="00C13D81">
            <w:pPr>
              <w:pStyle w:val="BulletPoints"/>
              <w:tabs>
                <w:tab w:val="clear" w:pos="720"/>
              </w:tabs>
              <w:ind w:left="0" w:firstLine="0"/>
              <w:rPr>
                <w:b/>
              </w:rPr>
            </w:pPr>
          </w:p>
        </w:tc>
      </w:tr>
      <w:tr w:rsidR="002179BC" w:rsidRPr="00511A84" w14:paraId="518FA327" w14:textId="77777777" w:rsidTr="00185D04">
        <w:tc>
          <w:tcPr>
            <w:tcW w:w="9468" w:type="dxa"/>
          </w:tcPr>
          <w:p w14:paraId="36AB314F" w14:textId="77777777" w:rsidR="002179BC" w:rsidRPr="00A62056" w:rsidRDefault="002179BC" w:rsidP="00C13D81">
            <w:pPr>
              <w:pStyle w:val="BulletPoints"/>
              <w:tabs>
                <w:tab w:val="clear" w:pos="720"/>
              </w:tabs>
              <w:ind w:left="0"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Appendices</w:t>
            </w:r>
          </w:p>
          <w:p w14:paraId="608F79DD" w14:textId="68CF7B0B" w:rsidR="002179BC" w:rsidRDefault="00C14EF2" w:rsidP="00C13D81">
            <w:pPr>
              <w:pStyle w:val="BulletPoints"/>
              <w:numPr>
                <w:ilvl w:val="0"/>
                <w:numId w:val="11"/>
              </w:numPr>
              <w:spacing w:after="0"/>
              <w:rPr>
                <w:rFonts w:asciiTheme="minorHAnsi" w:hAnsiTheme="minorHAnsi" w:cstheme="minorHAnsi"/>
                <w:iCs/>
                <w:sz w:val="22"/>
              </w:rPr>
            </w:pPr>
            <w:r>
              <w:rPr>
                <w:rFonts w:asciiTheme="minorHAnsi" w:hAnsiTheme="minorHAnsi" w:cstheme="minorHAnsi"/>
                <w:iCs/>
                <w:sz w:val="22"/>
              </w:rPr>
              <w:t>Draft CBT Framework</w:t>
            </w:r>
          </w:p>
          <w:p w14:paraId="00D60E30" w14:textId="757DBCEE" w:rsidR="00C14EF2" w:rsidRPr="00C14EF2" w:rsidRDefault="00C14EF2" w:rsidP="00C14EF2">
            <w:pPr>
              <w:pStyle w:val="BulletPoints"/>
              <w:spacing w:after="0"/>
              <w:ind w:left="360"/>
              <w:rPr>
                <w:rFonts w:asciiTheme="minorHAnsi" w:hAnsiTheme="minorHAnsi" w:cstheme="minorHAnsi"/>
                <w:iCs/>
                <w:lang w:val="en-US"/>
              </w:rPr>
            </w:pPr>
            <w:r w:rsidRPr="00C14EF2">
              <w:rPr>
                <w:rFonts w:asciiTheme="minorHAnsi" w:hAnsiTheme="minorHAnsi" w:cstheme="minorHAnsi"/>
                <w:iCs/>
                <w:noProof/>
                <w:lang w:val="en-US"/>
              </w:rPr>
              <w:drawing>
                <wp:inline distT="0" distB="0" distL="0" distR="0" wp14:anchorId="562C6972" wp14:editId="235A1589">
                  <wp:extent cx="5875020" cy="3916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5020" cy="3916680"/>
                          </a:xfrm>
                          <a:prstGeom prst="rect">
                            <a:avLst/>
                          </a:prstGeom>
                          <a:noFill/>
                          <a:ln>
                            <a:noFill/>
                          </a:ln>
                        </pic:spPr>
                      </pic:pic>
                    </a:graphicData>
                  </a:graphic>
                </wp:inline>
              </w:drawing>
            </w:r>
          </w:p>
          <w:p w14:paraId="59D8562A" w14:textId="77777777" w:rsidR="00C14EF2" w:rsidRPr="00A62056" w:rsidRDefault="00C14EF2" w:rsidP="00C14EF2">
            <w:pPr>
              <w:pStyle w:val="BulletPoints"/>
              <w:tabs>
                <w:tab w:val="clear" w:pos="720"/>
              </w:tabs>
              <w:spacing w:after="0"/>
              <w:ind w:left="360" w:firstLine="0"/>
              <w:rPr>
                <w:rFonts w:asciiTheme="minorHAnsi" w:hAnsiTheme="minorHAnsi" w:cstheme="minorHAnsi"/>
                <w:iCs/>
                <w:sz w:val="22"/>
              </w:rPr>
            </w:pPr>
          </w:p>
          <w:p w14:paraId="56A8BB95" w14:textId="77777777" w:rsidR="002179BC" w:rsidRPr="00A62056" w:rsidRDefault="002179BC" w:rsidP="00C13D81">
            <w:pPr>
              <w:pStyle w:val="BulletPoints"/>
              <w:tabs>
                <w:tab w:val="clear" w:pos="720"/>
              </w:tabs>
              <w:spacing w:after="0"/>
              <w:rPr>
                <w:rFonts w:ascii="Tahoma" w:hAnsi="Tahoma"/>
                <w:iCs/>
                <w:color w:val="800080"/>
                <w:sz w:val="22"/>
              </w:rPr>
            </w:pPr>
          </w:p>
          <w:p w14:paraId="2231255D" w14:textId="77777777" w:rsidR="002179BC" w:rsidRDefault="002179BC" w:rsidP="00C13D81">
            <w:pPr>
              <w:pStyle w:val="BulletPoints"/>
              <w:tabs>
                <w:tab w:val="clear" w:pos="720"/>
              </w:tabs>
              <w:spacing w:after="0"/>
              <w:rPr>
                <w:rFonts w:ascii="Tahoma" w:hAnsi="Tahoma"/>
                <w:i/>
                <w:color w:val="800080"/>
                <w:sz w:val="22"/>
              </w:rPr>
            </w:pPr>
          </w:p>
          <w:p w14:paraId="52731948" w14:textId="77777777" w:rsidR="002179BC" w:rsidRDefault="002179BC" w:rsidP="00C13D81">
            <w:pPr>
              <w:pStyle w:val="BulletPoints"/>
              <w:tabs>
                <w:tab w:val="clear" w:pos="720"/>
              </w:tabs>
              <w:spacing w:after="0"/>
              <w:ind w:firstLine="0"/>
              <w:rPr>
                <w:rFonts w:ascii="Tahoma" w:hAnsi="Tahoma"/>
                <w:i/>
                <w:color w:val="800080"/>
                <w:sz w:val="22"/>
              </w:rPr>
            </w:pPr>
          </w:p>
          <w:p w14:paraId="249DB759" w14:textId="77777777" w:rsidR="002179BC" w:rsidRPr="00511A84" w:rsidRDefault="002179BC" w:rsidP="00C13D81">
            <w:pPr>
              <w:pStyle w:val="BulletPoints"/>
              <w:tabs>
                <w:tab w:val="clear" w:pos="720"/>
              </w:tabs>
              <w:spacing w:after="0"/>
              <w:ind w:firstLine="0"/>
              <w:rPr>
                <w:rFonts w:ascii="Tahoma" w:hAnsi="Tahoma"/>
                <w:i/>
                <w:color w:val="800080"/>
                <w:sz w:val="22"/>
              </w:rPr>
            </w:pPr>
          </w:p>
        </w:tc>
      </w:tr>
    </w:tbl>
    <w:p w14:paraId="4C993406" w14:textId="77777777" w:rsidR="002179BC" w:rsidRPr="002179BC" w:rsidRDefault="002179BC" w:rsidP="00C13D81">
      <w:pPr>
        <w:pStyle w:val="Heading2"/>
        <w:jc w:val="both"/>
      </w:pPr>
    </w:p>
    <w:sectPr w:rsidR="002179BC" w:rsidRPr="002179BC" w:rsidSect="002179BC">
      <w:pgSz w:w="11907" w:h="16840"/>
      <w:pgMar w:top="851" w:right="851"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E5319" w14:textId="77777777" w:rsidR="000F5C51" w:rsidRDefault="000F5C51">
      <w:r>
        <w:separator/>
      </w:r>
    </w:p>
  </w:endnote>
  <w:endnote w:type="continuationSeparator" w:id="0">
    <w:p w14:paraId="2E6F1D69" w14:textId="77777777" w:rsidR="000F5C51" w:rsidRDefault="000F5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02668B-2FCC-4D1C-90F1-DF079B19D065}"/>
    <w:embedBold r:id="rId2" w:fontKey="{9CC0FCA0-D903-4AB8-BE48-0B55E7A4A991}"/>
    <w:embedItalic r:id="rId3" w:fontKey="{08CD479C-8361-432A-AF77-54E0A36D82EB}"/>
    <w:embedBoldItalic r:id="rId4" w:fontKey="{E45FAC3D-8DEB-453B-90A5-C775F7D47E7A}"/>
  </w:font>
  <w:font w:name="Tahoma">
    <w:panose1 w:val="020B0604030504040204"/>
    <w:charset w:val="00"/>
    <w:family w:val="swiss"/>
    <w:pitch w:val="variable"/>
    <w:sig w:usb0="E1002EFF" w:usb1="C000605B" w:usb2="00000029" w:usb3="00000000" w:csb0="000101FF" w:csb1="00000000"/>
    <w:embedRegular r:id="rId5" w:fontKey="{5C857CA0-D5CD-4A3E-BC11-07A92C8215C5}"/>
    <w:embedBold r:id="rId6" w:fontKey="{79DF3089-8B11-47E1-A275-7090E10B29D8}"/>
    <w:embedItalic r:id="rId7" w:fontKey="{9A93181C-38B9-4F9A-BC45-F4750EF82C16}"/>
    <w:embedBoldItalic r:id="rId8" w:fontKey="{DE5DFC73-11B9-4460-BE00-B4FA45C386E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6F88E79C-99F8-4778-B624-26E7ECE611C7}"/>
    <w:embedItalic r:id="rId10" w:fontKey="{167A5CCC-A968-4224-A989-03D5D1EF0552}"/>
  </w:font>
  <w:font w:name="Cambria">
    <w:panose1 w:val="02040503050406030204"/>
    <w:charset w:val="00"/>
    <w:family w:val="roman"/>
    <w:pitch w:val="variable"/>
    <w:sig w:usb0="E00006FF" w:usb1="420024FF" w:usb2="02000000" w:usb3="00000000" w:csb0="0000019F" w:csb1="00000000"/>
    <w:embedRegular r:id="rId11" w:fontKey="{24A4F247-CE08-4E9B-AB9B-177648C2B1C1}"/>
    <w:embedBold r:id="rId12" w:fontKey="{A7F1C1B7-95A3-4F4D-9BEF-360CA2BBE6C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6B69" w14:textId="77777777" w:rsidR="00165F36" w:rsidRDefault="00C13D8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1A658C" w14:textId="77777777" w:rsidR="00165F36" w:rsidRDefault="00165F36">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33D42" w14:textId="77777777" w:rsidR="00165F36" w:rsidRDefault="00165F36">
    <w:pPr>
      <w:widowControl w:val="0"/>
      <w:pBdr>
        <w:top w:val="nil"/>
        <w:left w:val="nil"/>
        <w:bottom w:val="nil"/>
        <w:right w:val="nil"/>
        <w:between w:val="nil"/>
      </w:pBdr>
      <w:spacing w:line="276" w:lineRule="auto"/>
      <w:rPr>
        <w:color w:val="000000"/>
      </w:rPr>
    </w:pPr>
  </w:p>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6F07E59D" w14:textId="77777777">
      <w:trPr>
        <w:trHeight w:val="709"/>
      </w:trPr>
      <w:tc>
        <w:tcPr>
          <w:tcW w:w="2694" w:type="dxa"/>
          <w:shd w:val="clear" w:color="auto" w:fill="514DAA"/>
        </w:tcPr>
        <w:p w14:paraId="7661DAD3" w14:textId="77777777" w:rsidR="00165F36" w:rsidRDefault="00C13D81">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rPr>
            <w:drawing>
              <wp:inline distT="0" distB="0" distL="0" distR="0" wp14:anchorId="041E81D5" wp14:editId="21678DB1">
                <wp:extent cx="430505" cy="438228"/>
                <wp:effectExtent l="0" t="0" r="0" b="0"/>
                <wp:docPr id="1262260956"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2314C64B" w14:textId="36DEB2A3" w:rsidR="00165F36" w:rsidRDefault="00C13D81">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D1533C">
            <w:rPr>
              <w:b/>
              <w:color w:val="FFFFFF"/>
            </w:rPr>
            <w:t xml:space="preserve">A. </w:t>
          </w:r>
          <w:r w:rsidR="00D1533C" w:rsidRPr="00D1533C">
            <w:rPr>
              <w:rFonts w:ascii="Calibri" w:eastAsia="Calibri" w:hAnsi="Calibri" w:cs="Calibri"/>
              <w:b/>
              <w:bCs/>
              <w:color w:val="FFFFFF" w:themeColor="background1"/>
              <w:sz w:val="26"/>
              <w:szCs w:val="26"/>
            </w:rPr>
            <w:t xml:space="preserve">Movono, E. </w:t>
          </w:r>
          <w:proofErr w:type="spellStart"/>
          <w:r w:rsidR="00D1533C" w:rsidRPr="00D1533C">
            <w:rPr>
              <w:rFonts w:ascii="Calibri" w:eastAsia="Calibri" w:hAnsi="Calibri" w:cs="Calibri"/>
              <w:b/>
              <w:bCs/>
              <w:color w:val="FFFFFF" w:themeColor="background1"/>
              <w:sz w:val="26"/>
              <w:szCs w:val="26"/>
            </w:rPr>
            <w:t>Draunidalo</w:t>
          </w:r>
          <w:proofErr w:type="spellEnd"/>
          <w:r w:rsidR="00D1533C" w:rsidRPr="00D1533C">
            <w:rPr>
              <w:rFonts w:ascii="Calibri" w:eastAsia="Calibri" w:hAnsi="Calibri" w:cs="Calibri"/>
              <w:b/>
              <w:bCs/>
              <w:color w:val="FFFFFF" w:themeColor="background1"/>
              <w:sz w:val="26"/>
              <w:szCs w:val="26"/>
            </w:rPr>
            <w:t xml:space="preserve">, K. Sharma &amp; M. Stephens </w:t>
          </w:r>
          <w:r w:rsidR="00D1533C" w:rsidRPr="00D1533C">
            <w:rPr>
              <w:b/>
              <w:bCs/>
            </w:rPr>
            <w:tab/>
          </w:r>
        </w:p>
      </w:tc>
    </w:tr>
  </w:tbl>
  <w:p w14:paraId="1D00A4FC" w14:textId="77777777" w:rsidR="00165F36" w:rsidRDefault="00165F36">
    <w:pPr>
      <w:pBdr>
        <w:top w:val="nil"/>
        <w:left w:val="nil"/>
        <w:bottom w:val="nil"/>
        <w:right w:val="nil"/>
        <w:between w:val="nil"/>
      </w:pBdr>
      <w:tabs>
        <w:tab w:val="center" w:pos="4320"/>
        <w:tab w:val="right" w:pos="8640"/>
        <w:tab w:val="right" w:pos="9072"/>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B4BD" w14:textId="77777777" w:rsidR="00165F36" w:rsidRDefault="00165F36">
    <w:pPr>
      <w:widowControl w:val="0"/>
      <w:pBdr>
        <w:top w:val="nil"/>
        <w:left w:val="nil"/>
        <w:bottom w:val="nil"/>
        <w:right w:val="nil"/>
        <w:between w:val="nil"/>
      </w:pBdr>
      <w:spacing w:line="276" w:lineRule="auto"/>
      <w:rPr>
        <w:color w:val="000000"/>
        <w:sz w:val="18"/>
        <w:szCs w:val="18"/>
      </w:rPr>
    </w:pPr>
  </w:p>
  <w:tbl>
    <w:tblPr>
      <w:tblStyle w:val="a6"/>
      <w:tblW w:w="11908" w:type="dxa"/>
      <w:tblInd w:w="-1405"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78863952" w14:textId="77777777">
      <w:trPr>
        <w:trHeight w:val="709"/>
      </w:trPr>
      <w:tc>
        <w:tcPr>
          <w:tcW w:w="2694" w:type="dxa"/>
          <w:shd w:val="clear" w:color="auto" w:fill="514DAA"/>
        </w:tcPr>
        <w:p w14:paraId="02CC6E90" w14:textId="77777777" w:rsidR="00165F36" w:rsidRDefault="00C13D81">
          <w:pPr>
            <w:pBdr>
              <w:top w:val="nil"/>
              <w:left w:val="nil"/>
              <w:bottom w:val="nil"/>
              <w:right w:val="nil"/>
              <w:between w:val="nil"/>
            </w:pBdr>
            <w:tabs>
              <w:tab w:val="center" w:pos="4320"/>
              <w:tab w:val="right" w:pos="8640"/>
              <w:tab w:val="right" w:pos="2478"/>
            </w:tabs>
            <w:jc w:val="left"/>
            <w:rPr>
              <w:color w:val="000000"/>
            </w:rPr>
          </w:pPr>
          <w:r>
            <w:rPr>
              <w:noProof/>
              <w:color w:val="000000"/>
            </w:rPr>
            <w:drawing>
              <wp:inline distT="0" distB="0" distL="0" distR="0" wp14:anchorId="40694F23" wp14:editId="230DC350">
                <wp:extent cx="430505" cy="438228"/>
                <wp:effectExtent l="0" t="0" r="0" b="0"/>
                <wp:docPr id="1262260955"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p>
      </w:tc>
      <w:tc>
        <w:tcPr>
          <w:tcW w:w="9214" w:type="dxa"/>
          <w:shd w:val="clear" w:color="auto" w:fill="514DAA"/>
        </w:tcPr>
        <w:p w14:paraId="3C0720E8" w14:textId="3806E660" w:rsidR="00165F36" w:rsidRPr="00D1533C" w:rsidRDefault="00D1533C" w:rsidP="00D1533C">
          <w:pPr>
            <w:pBdr>
              <w:top w:val="nil"/>
              <w:left w:val="nil"/>
              <w:bottom w:val="nil"/>
              <w:right w:val="nil"/>
              <w:between w:val="nil"/>
            </w:pBdr>
            <w:tabs>
              <w:tab w:val="center" w:pos="4320"/>
              <w:tab w:val="right" w:pos="8640"/>
            </w:tabs>
            <w:rPr>
              <w:b/>
              <w:bCs/>
            </w:rPr>
          </w:pPr>
          <w:r>
            <w:rPr>
              <w:rFonts w:ascii="Calibri" w:eastAsia="Calibri" w:hAnsi="Calibri" w:cs="Calibri"/>
              <w:b/>
              <w:bCs/>
              <w:color w:val="FFFFFF" w:themeColor="background1"/>
              <w:sz w:val="26"/>
              <w:szCs w:val="26"/>
            </w:rPr>
            <w:t xml:space="preserve">                                                  A. </w:t>
          </w:r>
          <w:r w:rsidRPr="00D1533C">
            <w:rPr>
              <w:rFonts w:ascii="Calibri" w:eastAsia="Calibri" w:hAnsi="Calibri" w:cs="Calibri"/>
              <w:b/>
              <w:bCs/>
              <w:color w:val="FFFFFF" w:themeColor="background1"/>
              <w:sz w:val="26"/>
              <w:szCs w:val="26"/>
            </w:rPr>
            <w:t xml:space="preserve">Movono, E. </w:t>
          </w:r>
          <w:proofErr w:type="spellStart"/>
          <w:r w:rsidRPr="00D1533C">
            <w:rPr>
              <w:rFonts w:ascii="Calibri" w:eastAsia="Calibri" w:hAnsi="Calibri" w:cs="Calibri"/>
              <w:b/>
              <w:bCs/>
              <w:color w:val="FFFFFF" w:themeColor="background1"/>
              <w:sz w:val="26"/>
              <w:szCs w:val="26"/>
            </w:rPr>
            <w:t>Draunidalo</w:t>
          </w:r>
          <w:proofErr w:type="spellEnd"/>
          <w:r w:rsidRPr="00D1533C">
            <w:rPr>
              <w:rFonts w:ascii="Calibri" w:eastAsia="Calibri" w:hAnsi="Calibri" w:cs="Calibri"/>
              <w:b/>
              <w:bCs/>
              <w:color w:val="FFFFFF" w:themeColor="background1"/>
              <w:sz w:val="26"/>
              <w:szCs w:val="26"/>
            </w:rPr>
            <w:t xml:space="preserve">, K. Sharma &amp; M. Stephens </w:t>
          </w:r>
          <w:r w:rsidR="00C13D81" w:rsidRPr="00D1533C">
            <w:rPr>
              <w:b/>
              <w:bCs/>
            </w:rPr>
            <w:tab/>
          </w:r>
        </w:p>
      </w:tc>
    </w:tr>
  </w:tbl>
  <w:p w14:paraId="50520536" w14:textId="77777777" w:rsidR="00165F36" w:rsidRDefault="00C13D81">
    <w:pPr>
      <w:pBdr>
        <w:top w:val="nil"/>
        <w:left w:val="nil"/>
        <w:bottom w:val="nil"/>
        <w:right w:val="nil"/>
        <w:between w:val="nil"/>
      </w:pBdr>
      <w:tabs>
        <w:tab w:val="center" w:pos="4320"/>
        <w:tab w:val="right" w:pos="8640"/>
      </w:tabs>
      <w:rPr>
        <w:color w:val="000000"/>
      </w:rPr>
    </w:pPr>
    <w:r>
      <w:rPr>
        <w:color w:val="000000"/>
      </w:rPr>
      <w:tab/>
      <w:t xml:space="preserve">         </w:t>
    </w:r>
  </w:p>
  <w:p w14:paraId="759EBD5C" w14:textId="656948C4" w:rsidR="00165F36" w:rsidRDefault="00165F36">
    <w:pPr>
      <w:pBdr>
        <w:top w:val="nil"/>
        <w:left w:val="nil"/>
        <w:bottom w:val="nil"/>
        <w:right w:val="nil"/>
        <w:between w:val="nil"/>
      </w:pBdr>
      <w:tabs>
        <w:tab w:val="center" w:pos="4320"/>
        <w:tab w:val="right" w:pos="8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DF0A9" w14:textId="77777777" w:rsidR="000F5C51" w:rsidRDefault="000F5C51">
      <w:r>
        <w:separator/>
      </w:r>
    </w:p>
  </w:footnote>
  <w:footnote w:type="continuationSeparator" w:id="0">
    <w:p w14:paraId="1F079675" w14:textId="77777777" w:rsidR="000F5C51" w:rsidRDefault="000F5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2B92" w14:textId="77777777" w:rsidR="00165F36" w:rsidRDefault="00C13D8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C77201" w14:textId="77777777" w:rsidR="00165F36" w:rsidRDefault="00165F3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4C33" w14:textId="7777777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AF9D" w14:textId="77777777" w:rsidR="00165F36" w:rsidRDefault="00165F36">
    <w:pPr>
      <w:widowControl w:val="0"/>
      <w:pBdr>
        <w:top w:val="nil"/>
        <w:left w:val="nil"/>
        <w:bottom w:val="nil"/>
        <w:right w:val="nil"/>
        <w:between w:val="nil"/>
      </w:pBdr>
      <w:spacing w:line="276" w:lineRule="auto"/>
      <w:rPr>
        <w:color w:val="000000"/>
      </w:rPr>
    </w:pPr>
  </w:p>
  <w:tbl>
    <w:tblPr>
      <w:tblStyle w:val="a4"/>
      <w:tblW w:w="11908"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4050"/>
      <w:gridCol w:w="7858"/>
    </w:tblGrid>
    <w:tr w:rsidR="00165F36" w14:paraId="5803C2AA" w14:textId="77777777">
      <w:trPr>
        <w:trHeight w:val="1843"/>
      </w:trPr>
      <w:tc>
        <w:tcPr>
          <w:tcW w:w="4050" w:type="dxa"/>
          <w:shd w:val="clear" w:color="auto" w:fill="514DAA"/>
        </w:tcPr>
        <w:p w14:paraId="3A57CC76" w14:textId="77777777" w:rsidR="00165F36" w:rsidRDefault="00C13D81">
          <w:pPr>
            <w:ind w:left="-1523"/>
          </w:pPr>
          <w:r>
            <w:rPr>
              <w:noProof/>
            </w:rPr>
            <w:drawing>
              <wp:anchor distT="0" distB="0" distL="114300" distR="114300" simplePos="0" relativeHeight="251658240" behindDoc="0" locked="0" layoutInCell="1" hidden="0" allowOverlap="1" wp14:anchorId="1CB37374" wp14:editId="2B60ECCD">
                <wp:simplePos x="0" y="0"/>
                <wp:positionH relativeFrom="column">
                  <wp:posOffset>166369</wp:posOffset>
                </wp:positionH>
                <wp:positionV relativeFrom="paragraph">
                  <wp:posOffset>219075</wp:posOffset>
                </wp:positionV>
                <wp:extent cx="2257425" cy="767080"/>
                <wp:effectExtent l="0" t="0" r="0" b="0"/>
                <wp:wrapSquare wrapText="bothSides" distT="0" distB="0" distL="114300" distR="114300"/>
                <wp:docPr id="1262260954" name="image4.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up of a logo&#10;&#10;Description automatically generated"/>
                        <pic:cNvPicPr preferRelativeResize="0"/>
                      </pic:nvPicPr>
                      <pic:blipFill>
                        <a:blip r:embed="rId1"/>
                        <a:srcRect/>
                        <a:stretch>
                          <a:fillRect/>
                        </a:stretch>
                      </pic:blipFill>
                      <pic:spPr>
                        <a:xfrm>
                          <a:off x="0" y="0"/>
                          <a:ext cx="2257425" cy="767080"/>
                        </a:xfrm>
                        <a:prstGeom prst="rect">
                          <a:avLst/>
                        </a:prstGeom>
                        <a:ln/>
                      </pic:spPr>
                    </pic:pic>
                  </a:graphicData>
                </a:graphic>
              </wp:anchor>
            </w:drawing>
          </w:r>
        </w:p>
      </w:tc>
      <w:tc>
        <w:tcPr>
          <w:tcW w:w="7858" w:type="dxa"/>
          <w:shd w:val="clear" w:color="auto" w:fill="514DAA"/>
        </w:tcPr>
        <w:p w14:paraId="554BAE12" w14:textId="77777777" w:rsidR="00165F36" w:rsidRDefault="00165F36">
          <w:pPr>
            <w:rPr>
              <w:rFonts w:ascii="Cambria" w:eastAsia="Cambria" w:hAnsi="Cambria" w:cs="Cambria"/>
              <w:b/>
              <w:sz w:val="28"/>
              <w:szCs w:val="28"/>
            </w:rPr>
          </w:pPr>
        </w:p>
        <w:p w14:paraId="5361D542" w14:textId="55D0D0AE" w:rsidR="00165F36" w:rsidRDefault="003E3B20">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Pacific Development Field Research Award</w:t>
          </w:r>
        </w:p>
        <w:p w14:paraId="6B3F3451" w14:textId="77777777" w:rsidR="00165F36" w:rsidRDefault="00C13D81">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Policy Brief</w:t>
          </w:r>
        </w:p>
        <w:p w14:paraId="72C7047A" w14:textId="576C997A" w:rsidR="00165F36" w:rsidRDefault="00C13D81">
          <w:pPr>
            <w:spacing w:line="360" w:lineRule="auto"/>
            <w:rPr>
              <w:rFonts w:ascii="Cambria" w:eastAsia="Cambria" w:hAnsi="Cambria" w:cs="Cambria"/>
              <w:b/>
              <w:sz w:val="24"/>
              <w:szCs w:val="24"/>
            </w:rPr>
          </w:pPr>
          <w:r>
            <w:rPr>
              <w:rFonts w:ascii="Cambria" w:eastAsia="Cambria" w:hAnsi="Cambria" w:cs="Cambria"/>
              <w:b/>
              <w:color w:val="FFFFFF"/>
              <w:sz w:val="26"/>
              <w:szCs w:val="26"/>
            </w:rPr>
            <w:t>202</w:t>
          </w:r>
          <w:r w:rsidR="000930CE">
            <w:rPr>
              <w:rFonts w:ascii="Cambria" w:eastAsia="Cambria" w:hAnsi="Cambria" w:cs="Cambria"/>
              <w:b/>
              <w:color w:val="FFFFFF"/>
              <w:sz w:val="26"/>
              <w:szCs w:val="26"/>
            </w:rPr>
            <w:t>5</w:t>
          </w:r>
          <w:r>
            <w:rPr>
              <w:rFonts w:ascii="Cambria" w:eastAsia="Cambria" w:hAnsi="Cambria" w:cs="Cambria"/>
              <w:b/>
              <w:color w:val="FFFFFF"/>
              <w:sz w:val="26"/>
              <w:szCs w:val="26"/>
            </w:rPr>
            <w:t xml:space="preserve"> </w:t>
          </w:r>
        </w:p>
      </w:tc>
    </w:tr>
  </w:tbl>
  <w:p w14:paraId="234FE7D3" w14:textId="77777777" w:rsidR="00165F36" w:rsidRDefault="00165F36">
    <w:pPr>
      <w:pBdr>
        <w:top w:val="nil"/>
        <w:left w:val="nil"/>
        <w:bottom w:val="nil"/>
        <w:right w:val="nil"/>
        <w:between w:val="nil"/>
      </w:pBdr>
      <w:tabs>
        <w:tab w:val="center" w:pos="4320"/>
        <w:tab w:val="right" w:pos="8640"/>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7B52" w14:textId="7777777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BD5FC4"/>
    <w:multiLevelType w:val="multilevel"/>
    <w:tmpl w:val="547EF24C"/>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5724FEF"/>
    <w:multiLevelType w:val="multilevel"/>
    <w:tmpl w:val="99A84CE8"/>
    <w:lvl w:ilvl="0">
      <w:start w:val="1"/>
      <w:numFmt w:val="bullet"/>
      <w:pStyle w:val="BulletText1"/>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0E41AC"/>
    <w:multiLevelType w:val="hybridMultilevel"/>
    <w:tmpl w:val="C7A47ABE"/>
    <w:lvl w:ilvl="0" w:tplc="61F0CE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6600C77"/>
    <w:multiLevelType w:val="multilevel"/>
    <w:tmpl w:val="BBAC3AC2"/>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7" w15:restartNumberingAfterBreak="0">
    <w:nsid w:val="4AB540D5"/>
    <w:multiLevelType w:val="multilevel"/>
    <w:tmpl w:val="D772B960"/>
    <w:lvl w:ilvl="0">
      <w:start w:val="1"/>
      <w:numFmt w:val="decimal"/>
      <w:pStyle w:val="BulletTex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BFC3809"/>
    <w:multiLevelType w:val="hybridMultilevel"/>
    <w:tmpl w:val="CDD4D6E6"/>
    <w:lvl w:ilvl="0" w:tplc="20A81A9A">
      <w:start w:val="1"/>
      <w:numFmt w:val="upperLetter"/>
      <w:lvlText w:val="%1."/>
      <w:lvlJc w:val="left"/>
      <w:pPr>
        <w:ind w:left="3531" w:hanging="360"/>
      </w:pPr>
      <w:rPr>
        <w:rFonts w:ascii="Calibri" w:eastAsia="Calibri" w:hAnsi="Calibri" w:cs="Calibri" w:hint="default"/>
        <w:color w:val="FFFFFF" w:themeColor="background1"/>
        <w:sz w:val="26"/>
      </w:rPr>
    </w:lvl>
    <w:lvl w:ilvl="1" w:tplc="04090019" w:tentative="1">
      <w:start w:val="1"/>
      <w:numFmt w:val="lowerLetter"/>
      <w:lvlText w:val="%2."/>
      <w:lvlJc w:val="left"/>
      <w:pPr>
        <w:ind w:left="4251" w:hanging="360"/>
      </w:pPr>
    </w:lvl>
    <w:lvl w:ilvl="2" w:tplc="0409001B" w:tentative="1">
      <w:start w:val="1"/>
      <w:numFmt w:val="lowerRoman"/>
      <w:lvlText w:val="%3."/>
      <w:lvlJc w:val="right"/>
      <w:pPr>
        <w:ind w:left="4971" w:hanging="180"/>
      </w:pPr>
    </w:lvl>
    <w:lvl w:ilvl="3" w:tplc="0409000F" w:tentative="1">
      <w:start w:val="1"/>
      <w:numFmt w:val="decimal"/>
      <w:lvlText w:val="%4."/>
      <w:lvlJc w:val="left"/>
      <w:pPr>
        <w:ind w:left="5691" w:hanging="360"/>
      </w:pPr>
    </w:lvl>
    <w:lvl w:ilvl="4" w:tplc="04090019" w:tentative="1">
      <w:start w:val="1"/>
      <w:numFmt w:val="lowerLetter"/>
      <w:lvlText w:val="%5."/>
      <w:lvlJc w:val="left"/>
      <w:pPr>
        <w:ind w:left="6411" w:hanging="360"/>
      </w:pPr>
    </w:lvl>
    <w:lvl w:ilvl="5" w:tplc="0409001B" w:tentative="1">
      <w:start w:val="1"/>
      <w:numFmt w:val="lowerRoman"/>
      <w:lvlText w:val="%6."/>
      <w:lvlJc w:val="right"/>
      <w:pPr>
        <w:ind w:left="7131" w:hanging="180"/>
      </w:pPr>
    </w:lvl>
    <w:lvl w:ilvl="6" w:tplc="0409000F" w:tentative="1">
      <w:start w:val="1"/>
      <w:numFmt w:val="decimal"/>
      <w:lvlText w:val="%7."/>
      <w:lvlJc w:val="left"/>
      <w:pPr>
        <w:ind w:left="7851" w:hanging="360"/>
      </w:pPr>
    </w:lvl>
    <w:lvl w:ilvl="7" w:tplc="04090019" w:tentative="1">
      <w:start w:val="1"/>
      <w:numFmt w:val="lowerLetter"/>
      <w:lvlText w:val="%8."/>
      <w:lvlJc w:val="left"/>
      <w:pPr>
        <w:ind w:left="8571" w:hanging="360"/>
      </w:pPr>
    </w:lvl>
    <w:lvl w:ilvl="8" w:tplc="0409001B" w:tentative="1">
      <w:start w:val="1"/>
      <w:numFmt w:val="lowerRoman"/>
      <w:lvlText w:val="%9."/>
      <w:lvlJc w:val="right"/>
      <w:pPr>
        <w:ind w:left="9291" w:hanging="180"/>
      </w:pPr>
    </w:lvl>
  </w:abstractNum>
  <w:abstractNum w:abstractNumId="10" w15:restartNumberingAfterBreak="0">
    <w:nsid w:val="7D724A0A"/>
    <w:multiLevelType w:val="hybridMultilevel"/>
    <w:tmpl w:val="4C2CC11E"/>
    <w:lvl w:ilvl="0" w:tplc="738ADB3C">
      <w:start w:val="1"/>
      <w:numFmt w:val="upperLetter"/>
      <w:lvlText w:val="%1."/>
      <w:lvlJc w:val="left"/>
      <w:pPr>
        <w:ind w:left="3840" w:hanging="360"/>
      </w:pPr>
      <w:rPr>
        <w:rFonts w:hint="default"/>
        <w:color w:val="FFFFFF" w:themeColor="background1"/>
      </w:r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11"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860315977">
    <w:abstractNumId w:val="6"/>
  </w:num>
  <w:num w:numId="2" w16cid:durableId="1783762651">
    <w:abstractNumId w:val="3"/>
  </w:num>
  <w:num w:numId="3" w16cid:durableId="1132481201">
    <w:abstractNumId w:val="1"/>
  </w:num>
  <w:num w:numId="4" w16cid:durableId="414782634">
    <w:abstractNumId w:val="7"/>
  </w:num>
  <w:num w:numId="5" w16cid:durableId="582852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40064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9691328">
    <w:abstractNumId w:val="0"/>
  </w:num>
  <w:num w:numId="8" w16cid:durableId="2071490570">
    <w:abstractNumId w:val="8"/>
  </w:num>
  <w:num w:numId="9" w16cid:durableId="894854224">
    <w:abstractNumId w:val="2"/>
  </w:num>
  <w:num w:numId="10" w16cid:durableId="1534922000">
    <w:abstractNumId w:val="5"/>
  </w:num>
  <w:num w:numId="11" w16cid:durableId="520358308">
    <w:abstractNumId w:val="11"/>
  </w:num>
  <w:num w:numId="12" w16cid:durableId="1160273313">
    <w:abstractNumId w:val="4"/>
  </w:num>
  <w:num w:numId="13" w16cid:durableId="1160585806">
    <w:abstractNumId w:val="10"/>
  </w:num>
  <w:num w:numId="14" w16cid:durableId="12316184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Y0N7EwMDEwNrYAcpV0lIJTi4sz8/NACoxrAaUpRkEsAAAA"/>
  </w:docVars>
  <w:rsids>
    <w:rsidRoot w:val="00165F36"/>
    <w:rsid w:val="000930CE"/>
    <w:rsid w:val="00094937"/>
    <w:rsid w:val="000F5C51"/>
    <w:rsid w:val="00133C81"/>
    <w:rsid w:val="00165F36"/>
    <w:rsid w:val="001A5600"/>
    <w:rsid w:val="001C061F"/>
    <w:rsid w:val="002179BC"/>
    <w:rsid w:val="002A45BD"/>
    <w:rsid w:val="003E3B20"/>
    <w:rsid w:val="005226E9"/>
    <w:rsid w:val="00711B4D"/>
    <w:rsid w:val="008D1698"/>
    <w:rsid w:val="009C6DBE"/>
    <w:rsid w:val="009D7C1D"/>
    <w:rsid w:val="00A801B1"/>
    <w:rsid w:val="00AF33CB"/>
    <w:rsid w:val="00C13D81"/>
    <w:rsid w:val="00C14EF2"/>
    <w:rsid w:val="00D1533C"/>
    <w:rsid w:val="00D93133"/>
    <w:rsid w:val="00DC4689"/>
    <w:rsid w:val="00DC782D"/>
    <w:rsid w:val="00E60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A1B564"/>
  <w15:docId w15:val="{46AB18E0-A553-45A9-A280-49CCFE81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w:basedOn w:val="Normal"/>
    <w:next w:val="Heading2"/>
    <w:uiPriority w:val="9"/>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uiPriority w:val="9"/>
    <w:unhideWhenUsed/>
    <w:qFormat/>
    <w:rsid w:val="00F20EC1"/>
    <w:pPr>
      <w:outlineLvl w:val="1"/>
    </w:pPr>
  </w:style>
  <w:style w:type="paragraph" w:styleId="Heading3">
    <w:name w:val="heading 3"/>
    <w:aliases w:val="Section"/>
    <w:basedOn w:val="Normal"/>
    <w:next w:val="Heading4"/>
    <w:uiPriority w:val="9"/>
    <w:unhideWhenUsed/>
    <w:qFormat/>
    <w:pPr>
      <w:spacing w:after="240"/>
      <w:jc w:val="center"/>
      <w:outlineLvl w:val="2"/>
    </w:pPr>
    <w:rPr>
      <w:rFonts w:ascii="Arial" w:hAnsi="Arial"/>
      <w:b/>
      <w:color w:val="006600"/>
      <w:sz w:val="32"/>
    </w:rPr>
  </w:style>
  <w:style w:type="paragraph" w:styleId="Heading4">
    <w:name w:val="heading 4"/>
    <w:aliases w:val="Map Title"/>
    <w:basedOn w:val="Normal"/>
    <w:next w:val="Normal"/>
    <w:uiPriority w:val="9"/>
    <w:semiHidden/>
    <w:unhideWhenUsed/>
    <w:qFormat/>
    <w:pPr>
      <w:spacing w:after="240"/>
      <w:outlineLvl w:val="3"/>
    </w:pPr>
    <w:rPr>
      <w:rFonts w:ascii="Arial" w:hAnsi="Arial"/>
      <w:b/>
      <w:color w:val="006600"/>
      <w:sz w:val="32"/>
    </w:rPr>
  </w:style>
  <w:style w:type="paragraph" w:styleId="Heading5">
    <w:name w:val="heading 5"/>
    <w:aliases w:val="Block Label"/>
    <w:basedOn w:val="Normal"/>
    <w:next w:val="Normal"/>
    <w:uiPriority w:val="9"/>
    <w:semiHidden/>
    <w:unhideWhenUsed/>
    <w:qFormat/>
    <w:pPr>
      <w:outlineLvl w:val="4"/>
    </w:pPr>
    <w:rPr>
      <w:rFonts w:ascii="Arial" w:hAnsi="Arial"/>
      <w:b/>
      <w:color w:val="000080"/>
    </w:rPr>
  </w:style>
  <w:style w:type="paragraph" w:styleId="Heading6">
    <w:name w:val="heading 6"/>
    <w:basedOn w:val="Normal"/>
    <w:next w:val="Normal"/>
    <w:uiPriority w:val="9"/>
    <w:semiHidden/>
    <w:unhideWhenUsed/>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pPr>
  </w:style>
  <w:style w:type="paragraph" w:customStyle="1" w:styleId="BulletText2">
    <w:name w:val="Bullet Text 2"/>
    <w:basedOn w:val="BulletText1"/>
    <w:pPr>
      <w:numPr>
        <w:numId w:val="4"/>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0"/>
      </w:numPr>
      <w:tabs>
        <w:tab w:val="num" w:pos="720"/>
      </w:tabs>
      <w:spacing w:before="60"/>
      <w:ind w:left="720" w:hanging="72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tabs>
        <w:tab w:val="num" w:pos="720"/>
      </w:tabs>
      <w:overflowPunct w:val="0"/>
      <w:autoSpaceDE w:val="0"/>
      <w:autoSpaceDN w:val="0"/>
      <w:adjustRightInd w:val="0"/>
      <w:spacing w:after="240"/>
      <w:ind w:left="720" w:hanging="720"/>
      <w:jc w:val="both"/>
      <w:textAlignment w:val="baseline"/>
    </w:pPr>
    <w:rPr>
      <w:rFonts w:ascii="Arial" w:hAnsi="Arial"/>
      <w:sz w:val="24"/>
      <w:lang w:bidi="ar-DZ"/>
    </w:rPr>
  </w:style>
  <w:style w:type="paragraph" w:styleId="BalloonText">
    <w:name w:val="Balloon Text"/>
    <w:basedOn w:val="Normal"/>
    <w:link w:val="BalloonTextChar"/>
    <w:rsid w:val="0094536D"/>
    <w:rPr>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both"/>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jc w:val="both"/>
    </w:pPr>
    <w:tblPr>
      <w:tblStyleRowBandSize w:val="1"/>
      <w:tblStyleColBandSize w:val="1"/>
    </w:tblPr>
  </w:style>
  <w:style w:type="table" w:customStyle="1" w:styleId="a5">
    <w:basedOn w:val="TableNormal"/>
    <w:pPr>
      <w:jc w:val="both"/>
    </w:pPr>
    <w:tblPr>
      <w:tblStyleRowBandSize w:val="1"/>
      <w:tblStyleColBandSize w:val="1"/>
    </w:tblPr>
  </w:style>
  <w:style w:type="table" w:customStyle="1" w:styleId="a6">
    <w:basedOn w:val="TableNormal"/>
    <w:pPr>
      <w:jc w:val="both"/>
    </w:pPr>
    <w:tblPr>
      <w:tblStyleRowBandSize w:val="1"/>
      <w:tblStyleColBandSize w:val="1"/>
    </w:tblPr>
  </w:style>
  <w:style w:type="paragraph" w:styleId="ListParagraph">
    <w:name w:val="List Paragraph"/>
    <w:basedOn w:val="Normal"/>
    <w:uiPriority w:val="34"/>
    <w:qFormat/>
    <w:rsid w:val="000930CE"/>
    <w:pPr>
      <w:ind w:left="720"/>
      <w:contextualSpacing/>
    </w:pPr>
  </w:style>
  <w:style w:type="paragraph" w:styleId="Caption">
    <w:name w:val="caption"/>
    <w:basedOn w:val="Normal"/>
    <w:next w:val="Normal"/>
    <w:uiPriority w:val="35"/>
    <w:unhideWhenUsed/>
    <w:qFormat/>
    <w:rsid w:val="008D1698"/>
    <w:pPr>
      <w:spacing w:after="200"/>
    </w:pPr>
    <w:rPr>
      <w:i/>
      <w:iCs/>
      <w:color w:val="37354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92533">
      <w:bodyDiv w:val="1"/>
      <w:marLeft w:val="0"/>
      <w:marRight w:val="0"/>
      <w:marTop w:val="0"/>
      <w:marBottom w:val="0"/>
      <w:divBdr>
        <w:top w:val="none" w:sz="0" w:space="0" w:color="auto"/>
        <w:left w:val="none" w:sz="0" w:space="0" w:color="auto"/>
        <w:bottom w:val="none" w:sz="0" w:space="0" w:color="auto"/>
        <w:right w:val="none" w:sz="0" w:space="0" w:color="auto"/>
      </w:divBdr>
    </w:div>
    <w:div w:id="1414933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80/10941665.2017.1308397"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tourismfiji.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2035D60CD64E5AB1FC3CDDA1D33666"/>
        <w:category>
          <w:name w:val="General"/>
          <w:gallery w:val="placeholder"/>
        </w:category>
        <w:types>
          <w:type w:val="bbPlcHdr"/>
        </w:types>
        <w:behaviors>
          <w:behavior w:val="content"/>
        </w:behaviors>
        <w:guid w:val="{A9E860C3-1CB4-4E43-B016-94BFB79AEF5C}"/>
      </w:docPartPr>
      <w:docPartBody>
        <w:p w:rsidR="006F4AC2" w:rsidRDefault="006F4AC2" w:rsidP="006F4AC2">
          <w:pPr>
            <w:pStyle w:val="E82035D60CD64E5AB1FC3CDDA1D33666"/>
          </w:pPr>
          <w:r w:rsidRPr="00505EEA">
            <w:rPr>
              <w:b/>
              <w:color w:val="000000" w:themeColor="text1"/>
            </w:rPr>
            <w:t>Click or tap here to enter text.</w:t>
          </w:r>
        </w:p>
      </w:docPartBody>
    </w:docPart>
    <w:docPart>
      <w:docPartPr>
        <w:name w:val="1C645E3BC1CC43CE836BC2AD96068DD1"/>
        <w:category>
          <w:name w:val="General"/>
          <w:gallery w:val="placeholder"/>
        </w:category>
        <w:types>
          <w:type w:val="bbPlcHdr"/>
        </w:types>
        <w:behaviors>
          <w:behavior w:val="content"/>
        </w:behaviors>
        <w:guid w:val="{ADD18B1C-E42C-4E2F-BC6D-2BDB16EE124D}"/>
      </w:docPartPr>
      <w:docPartBody>
        <w:p w:rsidR="006F4AC2" w:rsidRDefault="006F4AC2" w:rsidP="006F4AC2">
          <w:pPr>
            <w:pStyle w:val="1C645E3BC1CC43CE836BC2AD96068DD1"/>
          </w:pPr>
          <w:r w:rsidRPr="00505EEA">
            <w:rPr>
              <w:b/>
              <w:color w:val="000000" w:themeColor="text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AC2"/>
    <w:rsid w:val="00094937"/>
    <w:rsid w:val="006F4AC2"/>
    <w:rsid w:val="00A801B1"/>
    <w:rsid w:val="00DC782D"/>
    <w:rsid w:val="00F8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2035D60CD64E5AB1FC3CDDA1D33666">
    <w:name w:val="E82035D60CD64E5AB1FC3CDDA1D33666"/>
    <w:rsid w:val="006F4AC2"/>
  </w:style>
  <w:style w:type="paragraph" w:customStyle="1" w:styleId="1C645E3BC1CC43CE836BC2AD96068DD1">
    <w:name w:val="1C645E3BC1CC43CE836BC2AD96068DD1"/>
    <w:rsid w:val="006F4A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AFwTsdXuF/JXKOsAqTuvdPWQA==">CgMxLjAaHwoBMBIaChgICVIUChJ0YWJsZS40dXhwZXVoeTRhZmcyDmgubTN4dTNpNWsxbTFjMg5oLjQ4OWplMzZpdGNncDIOaC44MHo5aGsxNzNvemsyCWguM3JkY3JqbjIJaC4zNW5rdW4yMgloLjQ0c2luaW84AHIhMU9VbGdOeW4yalpvTF8tVWo3QmV6NVJBMzgxVWFkVDU1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andersi</dc:creator>
  <cp:lastModifiedBy>Phuong Nguyen</cp:lastModifiedBy>
  <cp:revision>3</cp:revision>
  <dcterms:created xsi:type="dcterms:W3CDTF">2025-10-09T19:52:00Z</dcterms:created>
  <dcterms:modified xsi:type="dcterms:W3CDTF">2026-05-27T07:58:00Z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ItemRetentionFormula</vt:lpwstr>
  </property>
  <property fmtid="{D5CDD505-2E9C-101B-9397-08002B2CF9AE}" pid="5" name="_dlc_DocIdItemGuid">
    <vt:lpwstr>5ad16565-20e7-493f-a51f-c575c89cbaeb</vt:lpwstr>
  </property>
  <property fmtid="{D5CDD505-2E9C-101B-9397-08002B2CF9AE}" pid="6" name="Order">
    <vt:lpwstr>473100</vt:lpwstr>
  </property>
  <property fmtid="{D5CDD505-2E9C-101B-9397-08002B2CF9AE}" pid="7" name="Topic">
    <vt:lpwstr>904;#Administration|dbd2b400-2f41-44be-9ffb-5d674245dc6e</vt:lpwstr>
  </property>
  <property fmtid="{D5CDD505-2E9C-101B-9397-08002B2CF9AE}" pid="8" name="FinancialYear">
    <vt:lpwstr>FinancialYear</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CoveringClassification</vt:lpwstr>
  </property>
  <property fmtid="{D5CDD505-2E9C-101B-9397-08002B2CF9AE}" pid="12" name="SecurityCaveat">
    <vt:lpwstr>SecurityCaveat</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