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Default="00165F36" w:rsidP="00030595">
      <w:pPr>
        <w:jc w:val="both"/>
        <w:sectPr w:rsidR="00165F36">
          <w:headerReference w:type="even" r:id="rId8"/>
          <w:headerReference w:type="default" r:id="rId9"/>
          <w:footerReference w:type="even" r:id="rId10"/>
          <w:footerReference w:type="default" r:id="rId11"/>
          <w:headerReference w:type="first" r:id="rId12"/>
          <w:footerReference w:type="first" r:id="rId13"/>
          <w:pgSz w:w="11907" w:h="16840"/>
          <w:pgMar w:top="238" w:right="1418" w:bottom="1021" w:left="1418" w:header="0" w:footer="0" w:gutter="0"/>
          <w:pgNumType w:start="1"/>
          <w:cols w:space="720"/>
          <w:titlePg/>
        </w:sectPr>
      </w:pPr>
    </w:p>
    <w:p w14:paraId="58258CB6" w14:textId="2BB4E459" w:rsidR="00165F36" w:rsidRPr="00B86F7B" w:rsidRDefault="00B86F7B" w:rsidP="00030595">
      <w:pPr>
        <w:jc w:val="both"/>
        <w:rPr>
          <w:rFonts w:ascii="Calibri" w:eastAsia="Calibri" w:hAnsi="Calibri" w:cs="Calibri"/>
          <w:color w:val="006600"/>
          <w:sz w:val="26"/>
          <w:szCs w:val="26"/>
        </w:rPr>
      </w:pPr>
      <w:r>
        <w:rPr>
          <w:rFonts w:ascii="Calibri" w:eastAsia="Calibri" w:hAnsi="Calibri" w:cs="Calibri"/>
          <w:color w:val="006600"/>
          <w:sz w:val="26"/>
          <w:szCs w:val="26"/>
        </w:rPr>
        <w:t>Apisalome Movono</w:t>
      </w:r>
      <w:r w:rsidR="005226E9" w:rsidRPr="00B86F7B">
        <w:rPr>
          <w:rFonts w:ascii="Calibri" w:eastAsia="Calibri" w:hAnsi="Calibri" w:cs="Calibri"/>
          <w:color w:val="006600"/>
          <w:sz w:val="26"/>
          <w:szCs w:val="26"/>
        </w:rPr>
        <w:t xml:space="preserve">| </w:t>
      </w:r>
      <w:r>
        <w:rPr>
          <w:rFonts w:ascii="Calibri" w:eastAsia="Calibri" w:hAnsi="Calibri" w:cs="Calibri"/>
          <w:color w:val="006600"/>
          <w:sz w:val="26"/>
          <w:szCs w:val="26"/>
        </w:rPr>
        <w:t>Discipline of Tourism and Hospitality Management</w:t>
      </w:r>
      <w:r w:rsidR="005226E9" w:rsidRPr="00B86F7B">
        <w:rPr>
          <w:rFonts w:ascii="Calibri" w:eastAsia="Calibri" w:hAnsi="Calibri" w:cs="Calibri"/>
          <w:color w:val="006600"/>
          <w:sz w:val="26"/>
          <w:szCs w:val="26"/>
        </w:rPr>
        <w:t xml:space="preserve"> | </w:t>
      </w:r>
      <w:r>
        <w:rPr>
          <w:rFonts w:ascii="Calibri" w:eastAsia="Calibri" w:hAnsi="Calibri" w:cs="Calibri"/>
          <w:color w:val="006600"/>
          <w:sz w:val="26"/>
          <w:szCs w:val="26"/>
        </w:rPr>
        <w:t>University of the South Pacific</w:t>
      </w:r>
    </w:p>
    <w:p w14:paraId="3393F8BC" w14:textId="77777777" w:rsidR="00165F36" w:rsidRDefault="00165F36" w:rsidP="00030595">
      <w:pPr>
        <w:ind w:firstLine="720"/>
        <w:jc w:val="both"/>
        <w:rPr>
          <w:rFonts w:ascii="Calibri" w:eastAsia="Calibri" w:hAnsi="Calibri" w:cs="Calibri"/>
          <w:sz w:val="26"/>
          <w:szCs w:val="26"/>
        </w:rPr>
      </w:pPr>
    </w:p>
    <w:p w14:paraId="4EBA1D3C" w14:textId="54EE3399" w:rsidR="00165F36" w:rsidRDefault="00B86F7B" w:rsidP="00030595">
      <w:pPr>
        <w:jc w:val="both"/>
        <w:rPr>
          <w:rFonts w:ascii="Calibri" w:eastAsia="Calibri" w:hAnsi="Calibri" w:cs="Calibri"/>
          <w:color w:val="000080"/>
          <w:sz w:val="28"/>
          <w:szCs w:val="28"/>
        </w:rPr>
      </w:pPr>
      <w:r w:rsidRPr="00B86F7B">
        <w:rPr>
          <w:rFonts w:ascii="Calibri" w:eastAsia="Calibri" w:hAnsi="Calibri" w:cs="Calibri"/>
          <w:b/>
          <w:sz w:val="28"/>
          <w:szCs w:val="28"/>
        </w:rPr>
        <w:t>Integrate or bust, exploring resilience building in the Pacific tourism space: A case study of Fijian tourism</w:t>
      </w:r>
      <w:r w:rsidR="005226E9">
        <w:rPr>
          <w:rFonts w:ascii="Calibri" w:eastAsia="Calibri" w:hAnsi="Calibri" w:cs="Calibri"/>
          <w:b/>
          <w:sz w:val="28"/>
          <w:szCs w:val="28"/>
        </w:rPr>
        <w:t xml:space="preserve">, </w:t>
      </w:r>
      <w:proofErr w:type="spellStart"/>
      <w:r>
        <w:rPr>
          <w:rFonts w:ascii="Calibri" w:eastAsia="Calibri" w:hAnsi="Calibri" w:cs="Calibri"/>
          <w:b/>
          <w:sz w:val="28"/>
          <w:szCs w:val="28"/>
        </w:rPr>
        <w:t>Savusavu</w:t>
      </w:r>
      <w:proofErr w:type="spellEnd"/>
      <w:r>
        <w:rPr>
          <w:rFonts w:ascii="Calibri" w:eastAsia="Calibri" w:hAnsi="Calibri" w:cs="Calibri"/>
          <w:b/>
          <w:sz w:val="28"/>
          <w:szCs w:val="28"/>
        </w:rPr>
        <w:t xml:space="preserve"> &amp; </w:t>
      </w:r>
      <w:proofErr w:type="spellStart"/>
      <w:r>
        <w:rPr>
          <w:rFonts w:ascii="Calibri" w:eastAsia="Calibri" w:hAnsi="Calibri" w:cs="Calibri"/>
          <w:b/>
          <w:sz w:val="28"/>
          <w:szCs w:val="28"/>
        </w:rPr>
        <w:t>Taveuni</w:t>
      </w:r>
      <w:proofErr w:type="spellEnd"/>
      <w:r>
        <w:rPr>
          <w:rFonts w:ascii="Calibri" w:eastAsia="Calibri" w:hAnsi="Calibri" w:cs="Calibri"/>
          <w:b/>
          <w:sz w:val="28"/>
          <w:szCs w:val="28"/>
        </w:rPr>
        <w:t>, Fiji</w:t>
      </w:r>
    </w:p>
    <w:p w14:paraId="550077F0" w14:textId="77777777" w:rsidR="00165F36" w:rsidRDefault="00165F36" w:rsidP="00030595">
      <w:pPr>
        <w:ind w:left="2160"/>
        <w:jc w:val="both"/>
        <w:rPr>
          <w:rFonts w:ascii="Calibri" w:eastAsia="Calibri" w:hAnsi="Calibri" w:cs="Calibri"/>
          <w:b/>
        </w:rPr>
      </w:pPr>
    </w:p>
    <w:p w14:paraId="0E0616AB" w14:textId="77777777" w:rsidR="00165F36" w:rsidRDefault="00165F36" w:rsidP="00030595">
      <w:pPr>
        <w:ind w:firstLine="720"/>
        <w:jc w:val="both"/>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trPr>
          <w:trHeight w:val="2506"/>
        </w:trPr>
        <w:tc>
          <w:tcPr>
            <w:tcW w:w="10515" w:type="dxa"/>
            <w:shd w:val="clear" w:color="auto" w:fill="D9D9D9"/>
          </w:tcPr>
          <w:p w14:paraId="38F671EE" w14:textId="50C6B504" w:rsidR="00F93B6A" w:rsidRDefault="005226E9" w:rsidP="00030595">
            <w:pPr>
              <w:rPr>
                <w:rFonts w:asciiTheme="minorHAnsi" w:hAnsiTheme="minorHAnsi" w:cstheme="minorHAnsi"/>
                <w:lang w:val="en-AU"/>
              </w:rPr>
            </w:pPr>
            <w:r w:rsidRPr="00383BCD">
              <w:rPr>
                <w:rFonts w:asciiTheme="minorHAnsi" w:hAnsiTheme="minorHAnsi" w:cstheme="minorHAnsi"/>
                <w:b/>
                <w:color w:val="864EA8" w:themeColor="accent1" w:themeShade="BF"/>
                <w:sz w:val="24"/>
                <w:szCs w:val="24"/>
              </w:rPr>
              <w:t>Summary</w:t>
            </w:r>
            <w:r w:rsidRPr="00A62056">
              <w:rPr>
                <w:rFonts w:asciiTheme="minorHAnsi" w:hAnsiTheme="minorHAnsi" w:cstheme="minorHAnsi"/>
                <w:b/>
                <w:color w:val="864EA8" w:themeColor="accent1" w:themeShade="BF"/>
                <w:sz w:val="24"/>
                <w:szCs w:val="24"/>
              </w:rPr>
              <w:t>:</w:t>
            </w:r>
            <w:r w:rsidRPr="00A62056">
              <w:rPr>
                <w:rFonts w:asciiTheme="minorHAnsi" w:hAnsiTheme="minorHAnsi" w:cstheme="minorHAnsi"/>
                <w:b/>
                <w:color w:val="864EA8" w:themeColor="accent1" w:themeShade="BF"/>
              </w:rPr>
              <w:t xml:space="preserve"> </w:t>
            </w:r>
            <w:r w:rsidRPr="00A62056">
              <w:rPr>
                <w:rFonts w:asciiTheme="minorHAnsi" w:hAnsiTheme="minorHAnsi" w:cstheme="minorHAnsi"/>
                <w:color w:val="864EA8" w:themeColor="accent1" w:themeShade="BF"/>
              </w:rPr>
              <w:t xml:space="preserve"> </w:t>
            </w:r>
            <w:r w:rsidR="00F93B6A" w:rsidRPr="00F93B6A">
              <w:rPr>
                <w:rFonts w:asciiTheme="minorHAnsi" w:hAnsiTheme="minorHAnsi" w:cstheme="minorHAnsi"/>
                <w:lang w:val="en-AU"/>
              </w:rPr>
              <w:t xml:space="preserve">Fiji’s tourism sector continues to face deep structural challenges stemming from fragmented governance arrangements that have undermined resilience and limited equitable participation in development. Over time, overlapping mandates, competing institutional interests, and </w:t>
            </w:r>
            <w:r w:rsidR="00CE3799">
              <w:rPr>
                <w:rFonts w:asciiTheme="minorHAnsi" w:hAnsiTheme="minorHAnsi" w:cstheme="minorHAnsi"/>
                <w:lang w:val="en-AU"/>
              </w:rPr>
              <w:t>inadequate coordination between central agencies, provincial administrations, and community bodies have created inefficiencies that hinder the implementation of coherent policies</w:t>
            </w:r>
            <w:r w:rsidR="00F93B6A" w:rsidRPr="00F93B6A">
              <w:rPr>
                <w:rFonts w:asciiTheme="minorHAnsi" w:hAnsiTheme="minorHAnsi" w:cstheme="minorHAnsi"/>
                <w:lang w:val="en-AU"/>
              </w:rPr>
              <w:t>. The result is a tourism system that struggles to deliver consistent outcomes for both investors and Indigenous landowning communities. Strengthening coordination among government ministries, traditional institutions, and local communities is therefore critical. A cohesive governance framework would allow for more effective policy execution, shared accountability, and inclusive decision-making that reflects both national development goals and community aspirations.</w:t>
            </w:r>
          </w:p>
          <w:p w14:paraId="5D9F1F27" w14:textId="77777777" w:rsidR="00F93B6A" w:rsidRPr="00F93B6A" w:rsidRDefault="00F93B6A" w:rsidP="00030595">
            <w:pPr>
              <w:rPr>
                <w:rFonts w:asciiTheme="minorHAnsi" w:hAnsiTheme="minorHAnsi" w:cstheme="minorHAnsi"/>
                <w:lang w:val="en-AU"/>
              </w:rPr>
            </w:pPr>
          </w:p>
          <w:p w14:paraId="617D7E6B" w14:textId="77777777" w:rsidR="00F93B6A" w:rsidRDefault="00F93B6A" w:rsidP="00030595">
            <w:pPr>
              <w:rPr>
                <w:rFonts w:asciiTheme="minorHAnsi" w:hAnsiTheme="minorHAnsi" w:cstheme="minorHAnsi"/>
                <w:lang w:val="en-AU"/>
              </w:rPr>
            </w:pPr>
            <w:r w:rsidRPr="00F93B6A">
              <w:rPr>
                <w:rFonts w:asciiTheme="minorHAnsi" w:hAnsiTheme="minorHAnsi" w:cstheme="minorHAnsi"/>
                <w:lang w:val="en-AU"/>
              </w:rPr>
              <w:t>Improved integration between national tourism policy and local governance systems presents a major opportunity to enhance adaptive capacity across the sector. Currently, many programs and initiatives are duplicated or misaligned, leading to resource wastage and inconsistent regulation. By linking tourism policies directly with provincial and district development planning, government can promote synergy between the public and private sectors, streamline approval processes, and increase transparency. Such integration would also facilitate joint monitoring and evaluation mechanisms that ensure communities benefit equitably from tourism revenues while reinforcing environmental and cultural sustainability.</w:t>
            </w:r>
          </w:p>
          <w:p w14:paraId="58C1E999" w14:textId="77777777" w:rsidR="00F93B6A" w:rsidRPr="00F93B6A" w:rsidRDefault="00F93B6A" w:rsidP="00030595">
            <w:pPr>
              <w:rPr>
                <w:rFonts w:asciiTheme="minorHAnsi" w:hAnsiTheme="minorHAnsi" w:cstheme="minorHAnsi"/>
                <w:lang w:val="en-AU"/>
              </w:rPr>
            </w:pPr>
          </w:p>
          <w:p w14:paraId="2667A93D" w14:textId="5564BE53" w:rsidR="00F93B6A" w:rsidRDefault="00F93B6A" w:rsidP="00030595">
            <w:pPr>
              <w:rPr>
                <w:rFonts w:asciiTheme="minorHAnsi" w:hAnsiTheme="minorHAnsi" w:cstheme="minorHAnsi"/>
                <w:lang w:val="en-AU"/>
              </w:rPr>
            </w:pPr>
            <w:r w:rsidRPr="00F93B6A">
              <w:rPr>
                <w:rFonts w:asciiTheme="minorHAnsi" w:hAnsiTheme="minorHAnsi" w:cstheme="minorHAnsi"/>
                <w:lang w:val="en-AU"/>
              </w:rPr>
              <w:t>Central to this reform process is the recognition of Indigenous Vanua-based governance as a legitimate and culturally grounded framework for resilience and cohesion. The Vanua system, rooted in kinship, reciprocity, and stewardship, provides an existing social infrastructure through which collective decision-making and conflict resolution occur. Incorporating these traditional structures into formal tourism governance would create hybrid systems that respect cultural protocols while maintaining policy coherence. Doing so would not only empower local leadership but also strengthen social capital and trust</w:t>
            </w:r>
            <w:r w:rsidR="00CE3799">
              <w:rPr>
                <w:rFonts w:asciiTheme="minorHAnsi" w:hAnsiTheme="minorHAnsi" w:cstheme="minorHAnsi"/>
                <w:lang w:val="en-AU"/>
              </w:rPr>
              <w:t xml:space="preserve">, which are </w:t>
            </w:r>
            <w:r w:rsidRPr="00F93B6A">
              <w:rPr>
                <w:rFonts w:asciiTheme="minorHAnsi" w:hAnsiTheme="minorHAnsi" w:cstheme="minorHAnsi"/>
                <w:lang w:val="en-AU"/>
              </w:rPr>
              <w:t>key elements for long-term sustainability in community-based tourism.</w:t>
            </w:r>
          </w:p>
          <w:p w14:paraId="78A5E8FD" w14:textId="77777777" w:rsidR="00F93B6A" w:rsidRPr="00F93B6A" w:rsidRDefault="00F93B6A" w:rsidP="00030595">
            <w:pPr>
              <w:rPr>
                <w:rFonts w:asciiTheme="minorHAnsi" w:hAnsiTheme="minorHAnsi" w:cstheme="minorHAnsi"/>
                <w:lang w:val="en-AU"/>
              </w:rPr>
            </w:pPr>
          </w:p>
          <w:p w14:paraId="71D43EE2" w14:textId="3C82BD76" w:rsidR="00F93B6A" w:rsidRPr="00F93B6A" w:rsidRDefault="00F93B6A" w:rsidP="00030595">
            <w:pPr>
              <w:rPr>
                <w:rFonts w:asciiTheme="minorHAnsi" w:hAnsiTheme="minorHAnsi" w:cstheme="minorHAnsi"/>
                <w:lang w:val="en-AU"/>
              </w:rPr>
            </w:pPr>
            <w:r w:rsidRPr="00F93B6A">
              <w:rPr>
                <w:rFonts w:asciiTheme="minorHAnsi" w:hAnsiTheme="minorHAnsi" w:cstheme="minorHAnsi"/>
                <w:lang w:val="en-AU"/>
              </w:rPr>
              <w:t xml:space="preserve">To achieve meaningful transformation, urgent policy action is required to </w:t>
            </w:r>
            <w:r w:rsidR="00CE3799">
              <w:rPr>
                <w:rFonts w:asciiTheme="minorHAnsi" w:hAnsiTheme="minorHAnsi" w:cstheme="minorHAnsi"/>
                <w:lang w:val="en-AU"/>
              </w:rPr>
              <w:t>institutionalise</w:t>
            </w:r>
            <w:r w:rsidRPr="00F93B6A">
              <w:rPr>
                <w:rFonts w:asciiTheme="minorHAnsi" w:hAnsiTheme="minorHAnsi" w:cstheme="minorHAnsi"/>
                <w:lang w:val="en-AU"/>
              </w:rPr>
              <w:t xml:space="preserve"> cross-sector collaboration and ensure alignment between strategic plans and financial resources. Ministries must coordinate budgetary priorities and develop shared accountability frameworks that embed tourism development within broader social, environmental, and cultural objectives. Capacity building is equally essential: both government officials and community leaders need targeted training to </w:t>
            </w:r>
            <w:r w:rsidR="00CE3799">
              <w:rPr>
                <w:rFonts w:asciiTheme="minorHAnsi" w:hAnsiTheme="minorHAnsi" w:cstheme="minorHAnsi"/>
                <w:lang w:val="en-AU"/>
              </w:rPr>
              <w:t>operationalise</w:t>
            </w:r>
            <w:r w:rsidRPr="00F93B6A">
              <w:rPr>
                <w:rFonts w:asciiTheme="minorHAnsi" w:hAnsiTheme="minorHAnsi" w:cstheme="minorHAnsi"/>
                <w:lang w:val="en-AU"/>
              </w:rPr>
              <w:t xml:space="preserve"> integrated tourism governance. By investing in institutional capability, establishing clear lines of communication, and </w:t>
            </w:r>
            <w:r w:rsidR="00CE3799">
              <w:rPr>
                <w:rFonts w:asciiTheme="minorHAnsi" w:hAnsiTheme="minorHAnsi" w:cstheme="minorHAnsi"/>
                <w:lang w:val="en-AU"/>
              </w:rPr>
              <w:t>formalising</w:t>
            </w:r>
            <w:r w:rsidRPr="00F93B6A">
              <w:rPr>
                <w:rFonts w:asciiTheme="minorHAnsi" w:hAnsiTheme="minorHAnsi" w:cstheme="minorHAnsi"/>
                <w:lang w:val="en-AU"/>
              </w:rPr>
              <w:t xml:space="preserve"> partnerships between government, private sector, and Vanua institutions, Fiji can build a tourism governance model that is inclusive, resilient, and reflective of its unique cultural identity.</w:t>
            </w:r>
          </w:p>
          <w:p w14:paraId="18F88C62" w14:textId="767D4701" w:rsidR="00165F36" w:rsidRDefault="00165F36" w:rsidP="00030595">
            <w:pPr>
              <w:widowControl w:val="0"/>
              <w:spacing w:line="360" w:lineRule="auto"/>
              <w:rPr>
                <w:rFonts w:ascii="Calibri" w:eastAsia="Calibri" w:hAnsi="Calibri" w:cs="Calibri"/>
              </w:rPr>
            </w:pPr>
          </w:p>
          <w:p w14:paraId="67CA6C87" w14:textId="2919AD05" w:rsidR="002179BC" w:rsidRDefault="002179BC" w:rsidP="00030595">
            <w:pPr>
              <w:pStyle w:val="BulletPoints"/>
              <w:tabs>
                <w:tab w:val="clear" w:pos="720"/>
              </w:tabs>
              <w:spacing w:after="0"/>
              <w:rPr>
                <w:rFonts w:ascii="Calibri" w:eastAsia="Calibri" w:hAnsi="Calibri" w:cs="Calibri"/>
              </w:rPr>
            </w:pPr>
          </w:p>
        </w:tc>
      </w:tr>
    </w:tbl>
    <w:bookmarkStart w:id="0" w:name="_heading=h.m3xu3i5k1m1c" w:colFirst="0" w:colLast="0"/>
    <w:bookmarkEnd w:id="0"/>
    <w:p w14:paraId="66455833" w14:textId="4D09DA7B" w:rsidR="00165F36" w:rsidRDefault="00F93B6A" w:rsidP="00030595">
      <w:pPr>
        <w:pStyle w:val="Heading1"/>
        <w:spacing w:before="480" w:after="0" w:line="276" w:lineRule="auto"/>
        <w:jc w:val="both"/>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r>
        <w:rPr>
          <w:noProof/>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25" cy="12700"/>
                <wp:effectExtent b="0" l="0" r="0" t="0"/>
                <wp:wrapNone/>
                <wp:docPr id="126226095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14:paraId="1B8B43D3" w14:textId="77777777" w:rsidR="005226E9" w:rsidRPr="00383BCD" w:rsidRDefault="005226E9" w:rsidP="00030595">
      <w:pPr>
        <w:pStyle w:val="BulletPoints"/>
        <w:tabs>
          <w:tab w:val="clear" w:pos="720"/>
        </w:tabs>
        <w:ind w:left="0" w:firstLine="0"/>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lastRenderedPageBreak/>
        <w:t>What is the development issue?</w:t>
      </w:r>
    </w:p>
    <w:p w14:paraId="44CE84E5" w14:textId="5C86A155" w:rsidR="00F93B6A" w:rsidRPr="00F93B6A" w:rsidRDefault="00F93B6A" w:rsidP="00030595">
      <w:pPr>
        <w:pStyle w:val="BulletPoints"/>
        <w:tabs>
          <w:tab w:val="clear" w:pos="720"/>
        </w:tabs>
        <w:ind w:left="0" w:firstLine="0"/>
        <w:rPr>
          <w:rFonts w:asciiTheme="minorHAnsi" w:hAnsiTheme="minorHAnsi" w:cstheme="minorHAnsi"/>
          <w:iCs/>
          <w:sz w:val="22"/>
        </w:rPr>
      </w:pPr>
      <w:r w:rsidRPr="00F93B6A">
        <w:rPr>
          <w:rFonts w:asciiTheme="minorHAnsi" w:hAnsiTheme="minorHAnsi" w:cstheme="minorHAnsi"/>
          <w:iCs/>
          <w:sz w:val="22"/>
        </w:rPr>
        <w:t xml:space="preserve">Tourism remains one of Fiji’s most significant economic sectors, contributing over </w:t>
      </w:r>
      <w:r w:rsidR="00CE3799">
        <w:rPr>
          <w:rFonts w:asciiTheme="minorHAnsi" w:hAnsiTheme="minorHAnsi" w:cstheme="minorHAnsi"/>
          <w:iCs/>
          <w:sz w:val="22"/>
        </w:rPr>
        <w:t>40</w:t>
      </w:r>
      <w:r w:rsidRPr="00F93B6A">
        <w:rPr>
          <w:rFonts w:asciiTheme="minorHAnsi" w:hAnsiTheme="minorHAnsi" w:cstheme="minorHAnsi"/>
          <w:iCs/>
          <w:sz w:val="22"/>
        </w:rPr>
        <w:t xml:space="preserve"> </w:t>
      </w:r>
      <w:r w:rsidR="00CE3799">
        <w:rPr>
          <w:rFonts w:asciiTheme="minorHAnsi" w:hAnsiTheme="minorHAnsi" w:cstheme="minorHAnsi"/>
          <w:iCs/>
          <w:sz w:val="22"/>
        </w:rPr>
        <w:t>per cent</w:t>
      </w:r>
      <w:r w:rsidRPr="00F93B6A">
        <w:rPr>
          <w:rFonts w:asciiTheme="minorHAnsi" w:hAnsiTheme="minorHAnsi" w:cstheme="minorHAnsi"/>
          <w:iCs/>
          <w:sz w:val="22"/>
        </w:rPr>
        <w:t xml:space="preserve"> to </w:t>
      </w:r>
      <w:r w:rsidR="00CE3799">
        <w:rPr>
          <w:rFonts w:asciiTheme="minorHAnsi" w:hAnsiTheme="minorHAnsi" w:cstheme="minorHAnsi"/>
          <w:iCs/>
          <w:sz w:val="22"/>
        </w:rPr>
        <w:t xml:space="preserve">the GDP and employing tens of thousands of people </w:t>
      </w:r>
      <w:r w:rsidRPr="00F93B6A">
        <w:rPr>
          <w:rFonts w:asciiTheme="minorHAnsi" w:hAnsiTheme="minorHAnsi" w:cstheme="minorHAnsi"/>
          <w:iCs/>
          <w:sz w:val="22"/>
        </w:rPr>
        <w:t>across direct and indirect roles. Yet, despite its scale, the sector’s governance remains fragmented</w:t>
      </w:r>
      <w:r w:rsidR="00CE3799">
        <w:rPr>
          <w:rFonts w:asciiTheme="minorHAnsi" w:hAnsiTheme="minorHAnsi" w:cstheme="minorHAnsi"/>
          <w:iCs/>
          <w:sz w:val="22"/>
        </w:rPr>
        <w:t xml:space="preserve"> (Tourism Fiji, 2024)</w:t>
      </w:r>
      <w:r w:rsidRPr="00F93B6A">
        <w:rPr>
          <w:rFonts w:asciiTheme="minorHAnsi" w:hAnsiTheme="minorHAnsi" w:cstheme="minorHAnsi"/>
          <w:iCs/>
          <w:sz w:val="22"/>
        </w:rPr>
        <w:t xml:space="preserve">. The absence of effective integration between tourism policy, rural development, and Indigenous governance systems has created inefficiencies, duplication of effort, and limited local participation in decision-making. This disconnection has become more visible during crises such as COVID-19 and tropical cyclones, when weak coordination hindered </w:t>
      </w:r>
      <w:r w:rsidR="00CE3799">
        <w:rPr>
          <w:rFonts w:asciiTheme="minorHAnsi" w:hAnsiTheme="minorHAnsi" w:cstheme="minorHAnsi"/>
          <w:iCs/>
          <w:sz w:val="22"/>
        </w:rPr>
        <w:t>practical</w:t>
      </w:r>
      <w:r w:rsidRPr="00F93B6A">
        <w:rPr>
          <w:rFonts w:asciiTheme="minorHAnsi" w:hAnsiTheme="minorHAnsi" w:cstheme="minorHAnsi"/>
          <w:iCs/>
          <w:sz w:val="22"/>
        </w:rPr>
        <w:t xml:space="preserve"> recovery efforts.</w:t>
      </w:r>
    </w:p>
    <w:p w14:paraId="41CD0FF8" w14:textId="2F7FC665" w:rsidR="00F93B6A" w:rsidRPr="00F93B6A" w:rsidRDefault="00F93B6A" w:rsidP="00030595">
      <w:pPr>
        <w:pStyle w:val="BulletPoints"/>
        <w:tabs>
          <w:tab w:val="clear" w:pos="720"/>
        </w:tabs>
        <w:ind w:left="0" w:firstLine="0"/>
        <w:rPr>
          <w:rFonts w:asciiTheme="minorHAnsi" w:hAnsiTheme="minorHAnsi" w:cstheme="minorHAnsi"/>
          <w:iCs/>
          <w:sz w:val="22"/>
        </w:rPr>
      </w:pPr>
      <w:r w:rsidRPr="00F93B6A">
        <w:rPr>
          <w:rFonts w:asciiTheme="minorHAnsi" w:hAnsiTheme="minorHAnsi" w:cstheme="minorHAnsi"/>
          <w:iCs/>
          <w:sz w:val="22"/>
        </w:rPr>
        <w:t>The issue stems from a long history of institutional compartmentalisation where tourism development, traditional authority, and local government systems evolved separately. Earlier national reviews</w:t>
      </w:r>
      <w:r w:rsidR="00CE3799">
        <w:rPr>
          <w:rFonts w:asciiTheme="minorHAnsi" w:hAnsiTheme="minorHAnsi" w:cstheme="minorHAnsi"/>
          <w:iCs/>
          <w:sz w:val="22"/>
        </w:rPr>
        <w:t xml:space="preserve">, including </w:t>
      </w:r>
      <w:r w:rsidRPr="00F93B6A">
        <w:rPr>
          <w:rFonts w:asciiTheme="minorHAnsi" w:hAnsiTheme="minorHAnsi" w:cstheme="minorHAnsi"/>
          <w:iCs/>
          <w:sz w:val="22"/>
        </w:rPr>
        <w:t>the Great Council of Chiefs Review, the Fijian Administration Review, and the Integrated Rural Development Framework (IRDF) Review</w:t>
      </w:r>
      <w:r w:rsidR="00CE3799">
        <w:rPr>
          <w:rFonts w:asciiTheme="minorHAnsi" w:hAnsiTheme="minorHAnsi" w:cstheme="minorHAnsi"/>
          <w:iCs/>
          <w:sz w:val="22"/>
        </w:rPr>
        <w:t xml:space="preserve">, </w:t>
      </w:r>
      <w:r w:rsidRPr="00F93B6A">
        <w:rPr>
          <w:rFonts w:asciiTheme="minorHAnsi" w:hAnsiTheme="minorHAnsi" w:cstheme="minorHAnsi"/>
          <w:iCs/>
          <w:sz w:val="22"/>
        </w:rPr>
        <w:t>each revealed misaligned mandates, blurred responsibilities, and communication silos between ministries and local structures. This project extends that analysis by focusing specifically on tourism systems to understand how integration can build resilience and drive sustainable, inclusive development outcomes.</w:t>
      </w:r>
    </w:p>
    <w:p w14:paraId="5089A212" w14:textId="72EA8192" w:rsidR="005226E9" w:rsidRPr="00A62056" w:rsidRDefault="00F93B6A" w:rsidP="00030595">
      <w:pPr>
        <w:pStyle w:val="BulletPoints"/>
        <w:tabs>
          <w:tab w:val="clear" w:pos="720"/>
        </w:tabs>
        <w:spacing w:after="0"/>
        <w:ind w:left="0" w:firstLine="0"/>
        <w:rPr>
          <w:rFonts w:asciiTheme="minorHAnsi" w:hAnsiTheme="minorHAnsi" w:cstheme="minorHAnsi"/>
          <w:iCs/>
          <w:sz w:val="22"/>
        </w:rPr>
      </w:pPr>
      <w:r w:rsidRPr="00F93B6A">
        <w:rPr>
          <w:rFonts w:asciiTheme="minorHAnsi" w:hAnsiTheme="minorHAnsi" w:cstheme="minorHAnsi"/>
          <w:iCs/>
          <w:sz w:val="22"/>
        </w:rPr>
        <w:t xml:space="preserve">Key stakeholders include the Ministry of Tourism and Civil Aviation, the Ministry of </w:t>
      </w:r>
      <w:proofErr w:type="spellStart"/>
      <w:r w:rsidRPr="00F93B6A">
        <w:rPr>
          <w:rFonts w:asciiTheme="minorHAnsi" w:hAnsiTheme="minorHAnsi" w:cstheme="minorHAnsi"/>
          <w:iCs/>
          <w:sz w:val="22"/>
        </w:rPr>
        <w:t>iTaukei</w:t>
      </w:r>
      <w:proofErr w:type="spellEnd"/>
      <w:r w:rsidRPr="00F93B6A">
        <w:rPr>
          <w:rFonts w:asciiTheme="minorHAnsi" w:hAnsiTheme="minorHAnsi" w:cstheme="minorHAnsi"/>
          <w:iCs/>
          <w:sz w:val="22"/>
        </w:rPr>
        <w:t xml:space="preserve"> Affairs, the Ministry of Rural and Maritime Development, provincial councils, traditional leaders, community tourism operators, and regional organisations such as the Pacific Tourism Organisation (SPTO). Integration among these actors is critical to achieving the Sustainable Development Goals (SDGs), particularly SDG 8 on Decent Work and Economic Growth, SDG 11 on Sustainable Communities, SDG 13 on Climate Action, and SDG 17 on Partnerships for the Goals.</w:t>
      </w:r>
    </w:p>
    <w:p w14:paraId="644AC076" w14:textId="77777777" w:rsidR="005226E9" w:rsidRDefault="005226E9" w:rsidP="00030595">
      <w:pPr>
        <w:pStyle w:val="BulletPoints"/>
        <w:tabs>
          <w:tab w:val="clear" w:pos="720"/>
        </w:tabs>
        <w:ind w:left="0" w:firstLine="0"/>
        <w:rPr>
          <w:rFonts w:asciiTheme="minorHAnsi" w:hAnsiTheme="minorHAnsi" w:cstheme="minorHAnsi"/>
          <w:b/>
          <w:color w:val="864EA8" w:themeColor="accent1" w:themeShade="BF"/>
        </w:rPr>
      </w:pPr>
    </w:p>
    <w:p w14:paraId="6EAE60F3" w14:textId="77777777" w:rsidR="00CE3799" w:rsidRDefault="00CE3799" w:rsidP="00030595">
      <w:pPr>
        <w:pStyle w:val="BulletPoints"/>
        <w:tabs>
          <w:tab w:val="clear" w:pos="720"/>
        </w:tabs>
        <w:ind w:left="0" w:firstLine="0"/>
        <w:rPr>
          <w:rFonts w:asciiTheme="minorHAnsi" w:hAnsiTheme="minorHAnsi" w:cstheme="minorHAnsi"/>
          <w:b/>
          <w:color w:val="864EA8" w:themeColor="accent1" w:themeShade="BF"/>
        </w:rPr>
      </w:pPr>
    </w:p>
    <w:p w14:paraId="139B5966" w14:textId="77777777" w:rsidR="00CE3799" w:rsidRDefault="00CE3799" w:rsidP="00030595">
      <w:pPr>
        <w:pStyle w:val="BulletPoints"/>
        <w:tabs>
          <w:tab w:val="clear" w:pos="720"/>
        </w:tabs>
        <w:ind w:left="0" w:firstLine="0"/>
        <w:rPr>
          <w:rFonts w:asciiTheme="minorHAnsi" w:hAnsiTheme="minorHAnsi" w:cstheme="minorHAnsi"/>
          <w:b/>
          <w:color w:val="864EA8" w:themeColor="accent1" w:themeShade="BF"/>
        </w:rPr>
      </w:pPr>
    </w:p>
    <w:p w14:paraId="4DD5AA62" w14:textId="452CD741" w:rsidR="005226E9" w:rsidRPr="00383BCD" w:rsidRDefault="005226E9" w:rsidP="00030595">
      <w:pPr>
        <w:pStyle w:val="BulletPoints"/>
        <w:tabs>
          <w:tab w:val="clear" w:pos="720"/>
        </w:tabs>
        <w:ind w:left="0" w:firstLine="0"/>
        <w:rPr>
          <w:rFonts w:asciiTheme="minorHAnsi" w:hAnsiTheme="minorHAnsi" w:cstheme="minorHAnsi"/>
          <w:b/>
          <w:color w:val="864EA8" w:themeColor="accent1" w:themeShade="BF"/>
        </w:rPr>
      </w:pPr>
      <w:r w:rsidRPr="00383BCD">
        <w:rPr>
          <w:rFonts w:asciiTheme="minorHAnsi" w:hAnsiTheme="minorHAnsi" w:cstheme="minorHAnsi"/>
          <w:b/>
          <w:color w:val="864EA8" w:themeColor="accent1" w:themeShade="BF"/>
        </w:rPr>
        <w:t>Key findings</w:t>
      </w:r>
    </w:p>
    <w:p w14:paraId="332D470B" w14:textId="768EC745"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The research explored the question: Are integration and resilience in tourism systems interrelated</w:t>
      </w:r>
      <w:r w:rsidR="001F016E">
        <w:rPr>
          <w:rFonts w:ascii="Calibri" w:eastAsia="MS Mincho" w:hAnsi="Calibri" w:cs="Calibri"/>
          <w:lang w:val="en-US"/>
        </w:rPr>
        <w:t>? If</w:t>
      </w:r>
      <w:r w:rsidRPr="00F93B6A">
        <w:rPr>
          <w:rFonts w:ascii="Calibri" w:eastAsia="MS Mincho" w:hAnsi="Calibri" w:cs="Calibri"/>
          <w:lang w:val="en-US"/>
        </w:rPr>
        <w:t xml:space="preserve"> so, how can integration be fostered to enhance resilience in Pacific Island tourism governance and practice? Fieldwork and participatory analysis across Fiji</w:t>
      </w:r>
      <w:r w:rsidR="00CE3799">
        <w:rPr>
          <w:rFonts w:ascii="Calibri" w:eastAsia="MS Mincho" w:hAnsi="Calibri" w:cs="Calibri"/>
          <w:lang w:val="en-US"/>
        </w:rPr>
        <w:t xml:space="preserve">, particularly in the northern areas of </w:t>
      </w:r>
      <w:proofErr w:type="spellStart"/>
      <w:r w:rsidR="00CE3799">
        <w:rPr>
          <w:rFonts w:ascii="Calibri" w:eastAsia="MS Mincho" w:hAnsi="Calibri" w:cs="Calibri"/>
          <w:lang w:val="en-US"/>
        </w:rPr>
        <w:t>Savusavu</w:t>
      </w:r>
      <w:proofErr w:type="spellEnd"/>
      <w:r w:rsidR="00CE3799">
        <w:rPr>
          <w:rFonts w:ascii="Calibri" w:eastAsia="MS Mincho" w:hAnsi="Calibri" w:cs="Calibri"/>
          <w:lang w:val="en-US"/>
        </w:rPr>
        <w:t xml:space="preserve"> and </w:t>
      </w:r>
      <w:proofErr w:type="spellStart"/>
      <w:r w:rsidR="00CE3799">
        <w:rPr>
          <w:rFonts w:ascii="Calibri" w:eastAsia="MS Mincho" w:hAnsi="Calibri" w:cs="Calibri"/>
          <w:lang w:val="en-US"/>
        </w:rPr>
        <w:t>Taveuni</w:t>
      </w:r>
      <w:proofErr w:type="spellEnd"/>
      <w:r w:rsidR="00CE3799">
        <w:rPr>
          <w:rFonts w:ascii="Calibri" w:eastAsia="MS Mincho" w:hAnsi="Calibri" w:cs="Calibri"/>
          <w:lang w:val="en-US"/>
        </w:rPr>
        <w:t>, confirmed that resilience and integration are mutually reinforcing. Coherent</w:t>
      </w:r>
      <w:r w:rsidRPr="00F93B6A">
        <w:rPr>
          <w:rFonts w:ascii="Calibri" w:eastAsia="MS Mincho" w:hAnsi="Calibri" w:cs="Calibri"/>
          <w:lang w:val="en-US"/>
        </w:rPr>
        <w:t xml:space="preserve"> governance fosters rapid adaptation, while resilience strengthens institutional coordination under stress.</w:t>
      </w:r>
    </w:p>
    <w:p w14:paraId="6B0B3E05" w14:textId="18D309DA"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The findings show that fragmentation exists at multiple levels. Policy frameworks often operate in isolation, leading to gaps between national planning and community implementation.</w:t>
      </w:r>
      <w:r w:rsidR="009F5CDD">
        <w:rPr>
          <w:rFonts w:ascii="Calibri" w:eastAsia="MS Mincho" w:hAnsi="Calibri" w:cs="Calibri"/>
          <w:lang w:val="en-US"/>
        </w:rPr>
        <w:t xml:space="preserve"> One respondent stated that </w:t>
      </w:r>
      <w:r w:rsidR="001F016E">
        <w:rPr>
          <w:rFonts w:ascii="Calibri" w:eastAsia="MS Mincho" w:hAnsi="Calibri" w:cs="Calibri"/>
          <w:lang w:val="en-US"/>
        </w:rPr>
        <w:t>“</w:t>
      </w:r>
      <w:r w:rsidR="009F5CDD">
        <w:rPr>
          <w:rFonts w:ascii="Calibri" w:eastAsia="MS Mincho" w:hAnsi="Calibri" w:cs="Calibri"/>
          <w:lang w:val="en-US"/>
        </w:rPr>
        <w:t>in the provinces, we rely on multiple government actors to help us establish and run tourism, so each time we have to keep pitching the same ideas and proposals to different ministries – it's frustrating</w:t>
      </w:r>
      <w:r w:rsidR="001F016E">
        <w:rPr>
          <w:rFonts w:ascii="Calibri" w:eastAsia="MS Mincho" w:hAnsi="Calibri" w:cs="Calibri"/>
          <w:lang w:val="en-US"/>
        </w:rPr>
        <w:t>”</w:t>
      </w:r>
      <w:r w:rsidR="009F5CDD">
        <w:rPr>
          <w:rFonts w:ascii="Calibri" w:eastAsia="MS Mincho" w:hAnsi="Calibri" w:cs="Calibri"/>
          <w:lang w:val="en-US"/>
        </w:rPr>
        <w:t>.</w:t>
      </w:r>
      <w:r w:rsidRPr="00F93B6A">
        <w:rPr>
          <w:rFonts w:ascii="Calibri" w:eastAsia="MS Mincho" w:hAnsi="Calibri" w:cs="Calibri"/>
          <w:lang w:val="en-US"/>
        </w:rPr>
        <w:t xml:space="preserve"> Provincial councils and traditional authorities </w:t>
      </w:r>
      <w:r w:rsidR="00CE3799">
        <w:rPr>
          <w:rFonts w:ascii="Calibri" w:eastAsia="MS Mincho" w:hAnsi="Calibri" w:cs="Calibri"/>
          <w:lang w:val="en-US"/>
        </w:rPr>
        <w:t>often act without consistent alignment with ministry-level tourism priorities, while community tourism operators face capacity and resource constraints that limit their participation and growth</w:t>
      </w:r>
      <w:r w:rsidRPr="00F93B6A">
        <w:rPr>
          <w:rFonts w:ascii="Calibri" w:eastAsia="MS Mincho" w:hAnsi="Calibri" w:cs="Calibri"/>
          <w:lang w:val="en-US"/>
        </w:rPr>
        <w:t xml:space="preserve">. Stakeholders acknowledged that </w:t>
      </w:r>
      <w:r w:rsidR="001F016E">
        <w:rPr>
          <w:rFonts w:ascii="Calibri" w:eastAsia="MS Mincho" w:hAnsi="Calibri" w:cs="Calibri"/>
          <w:lang w:val="en-US"/>
        </w:rPr>
        <w:t>“</w:t>
      </w:r>
      <w:r w:rsidRPr="00F93B6A">
        <w:rPr>
          <w:rFonts w:ascii="Calibri" w:eastAsia="MS Mincho" w:hAnsi="Calibri" w:cs="Calibri"/>
          <w:lang w:val="en-US"/>
        </w:rPr>
        <w:t>what the left hand does, the right hand doesn’t know</w:t>
      </w:r>
      <w:r w:rsidR="001F016E">
        <w:rPr>
          <w:rFonts w:ascii="Calibri" w:eastAsia="MS Mincho" w:hAnsi="Calibri" w:cs="Calibri"/>
          <w:lang w:val="en-US"/>
        </w:rPr>
        <w:t>”</w:t>
      </w:r>
      <w:r w:rsidRPr="00F93B6A">
        <w:rPr>
          <w:rFonts w:ascii="Calibri" w:eastAsia="MS Mincho" w:hAnsi="Calibri" w:cs="Calibri"/>
          <w:lang w:val="en-US"/>
        </w:rPr>
        <w:t xml:space="preserve"> remains a recurring challenge across institutions.</w:t>
      </w:r>
    </w:p>
    <w:p w14:paraId="29573B88" w14:textId="68E05227"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 xml:space="preserve">Through Vanua-based Participatory Action Research (PAR), the project uncovered several key dynamics. First, integration requires </w:t>
      </w:r>
      <w:r w:rsidR="00CE3799">
        <w:rPr>
          <w:rFonts w:ascii="Calibri" w:eastAsia="MS Mincho" w:hAnsi="Calibri" w:cs="Calibri"/>
          <w:lang w:val="en-US"/>
        </w:rPr>
        <w:t>trust-building,</w:t>
      </w:r>
      <w:r w:rsidRPr="00F93B6A">
        <w:rPr>
          <w:rFonts w:ascii="Calibri" w:eastAsia="MS Mincho" w:hAnsi="Calibri" w:cs="Calibri"/>
          <w:lang w:val="en-US"/>
        </w:rPr>
        <w:t xml:space="preserve"> sustained relationships across state and traditional systems through open </w:t>
      </w:r>
      <w:proofErr w:type="spellStart"/>
      <w:r w:rsidRPr="00F93B6A">
        <w:rPr>
          <w:rFonts w:ascii="Calibri" w:eastAsia="MS Mincho" w:hAnsi="Calibri" w:cs="Calibri"/>
          <w:lang w:val="en-US"/>
        </w:rPr>
        <w:t>talanoa</w:t>
      </w:r>
      <w:proofErr w:type="spellEnd"/>
      <w:r w:rsidRPr="00F93B6A">
        <w:rPr>
          <w:rFonts w:ascii="Calibri" w:eastAsia="MS Mincho" w:hAnsi="Calibri" w:cs="Calibri"/>
          <w:lang w:val="en-US"/>
        </w:rPr>
        <w:t xml:space="preserve"> (dialogue) and mutual accountability. Second, resilience is strengthened when Indigenous governance principles such as collective stewardship, reciprocity, and continuity guide tourism management. Third, crises reveal the cost of disconnection: during </w:t>
      </w:r>
      <w:r w:rsidR="00CE3799">
        <w:rPr>
          <w:rFonts w:ascii="Calibri" w:eastAsia="MS Mincho" w:hAnsi="Calibri" w:cs="Calibri"/>
          <w:lang w:val="en-US"/>
        </w:rPr>
        <w:t>the COVID-19 pandemic</w:t>
      </w:r>
      <w:r w:rsidRPr="00F93B6A">
        <w:rPr>
          <w:rFonts w:ascii="Calibri" w:eastAsia="MS Mincho" w:hAnsi="Calibri" w:cs="Calibri"/>
          <w:lang w:val="en-US"/>
        </w:rPr>
        <w:t xml:space="preserve">, tourism operators received inconsistent guidance, provincial councils lacked resources to </w:t>
      </w:r>
      <w:r w:rsidRPr="00F93B6A">
        <w:rPr>
          <w:rFonts w:ascii="Calibri" w:eastAsia="MS Mincho" w:hAnsi="Calibri" w:cs="Calibri"/>
          <w:lang w:val="en-US"/>
        </w:rPr>
        <w:lastRenderedPageBreak/>
        <w:t>coordinate responses, and community resilience was left to informal networks.</w:t>
      </w:r>
    </w:p>
    <w:p w14:paraId="129391AC" w14:textId="6A2FC2CB"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Stakeholders across all levels</w:t>
      </w:r>
      <w:r w:rsidR="00D43B04">
        <w:rPr>
          <w:rFonts w:ascii="Calibri" w:eastAsia="MS Mincho" w:hAnsi="Calibri" w:cs="Calibri"/>
          <w:lang w:val="en-US"/>
        </w:rPr>
        <w:t xml:space="preserve">, </w:t>
      </w:r>
      <w:r w:rsidRPr="00F93B6A">
        <w:rPr>
          <w:rFonts w:ascii="Calibri" w:eastAsia="MS Mincho" w:hAnsi="Calibri" w:cs="Calibri"/>
          <w:lang w:val="en-US"/>
        </w:rPr>
        <w:t xml:space="preserve">community, government, and </w:t>
      </w:r>
      <w:r w:rsidR="00B46CCE">
        <w:rPr>
          <w:rFonts w:ascii="Calibri" w:eastAsia="MS Mincho" w:hAnsi="Calibri" w:cs="Calibri"/>
          <w:lang w:val="en-US"/>
        </w:rPr>
        <w:t xml:space="preserve">a </w:t>
      </w:r>
      <w:r w:rsidRPr="00F93B6A">
        <w:rPr>
          <w:rFonts w:ascii="Calibri" w:eastAsia="MS Mincho" w:hAnsi="Calibri" w:cs="Calibri"/>
          <w:lang w:val="en-US"/>
        </w:rPr>
        <w:t>private sector</w:t>
      </w:r>
      <w:r w:rsidR="00B46CCE">
        <w:rPr>
          <w:rFonts w:ascii="Calibri" w:eastAsia="MS Mincho" w:hAnsi="Calibri" w:cs="Calibri"/>
          <w:lang w:val="en-US"/>
        </w:rPr>
        <w:t xml:space="preserve"> actor</w:t>
      </w:r>
      <w:r w:rsidR="00866FF4">
        <w:rPr>
          <w:rFonts w:ascii="Calibri" w:eastAsia="MS Mincho" w:hAnsi="Calibri" w:cs="Calibri"/>
          <w:lang w:val="en-US"/>
        </w:rPr>
        <w:t xml:space="preserve"> </w:t>
      </w:r>
      <w:proofErr w:type="gramStart"/>
      <w:r w:rsidR="00866FF4">
        <w:rPr>
          <w:rFonts w:ascii="Calibri" w:eastAsia="MS Mincho" w:hAnsi="Calibri" w:cs="Calibri"/>
          <w:lang w:val="en-US"/>
        </w:rPr>
        <w:t>in particular</w:t>
      </w:r>
      <w:r w:rsidR="00CE3799">
        <w:rPr>
          <w:rFonts w:ascii="Calibri" w:eastAsia="MS Mincho" w:hAnsi="Calibri" w:cs="Calibri"/>
          <w:lang w:val="en-US"/>
        </w:rPr>
        <w:t xml:space="preserve"> </w:t>
      </w:r>
      <w:proofErr w:type="spellStart"/>
      <w:r w:rsidRPr="00F93B6A">
        <w:rPr>
          <w:rFonts w:ascii="Calibri" w:eastAsia="MS Mincho" w:hAnsi="Calibri" w:cs="Calibri"/>
          <w:lang w:val="en-US"/>
        </w:rPr>
        <w:t>emphasised</w:t>
      </w:r>
      <w:proofErr w:type="spellEnd"/>
      <w:proofErr w:type="gramEnd"/>
      <w:r w:rsidRPr="00F93B6A">
        <w:rPr>
          <w:rFonts w:ascii="Calibri" w:eastAsia="MS Mincho" w:hAnsi="Calibri" w:cs="Calibri"/>
          <w:lang w:val="en-US"/>
        </w:rPr>
        <w:t xml:space="preserve"> </w:t>
      </w:r>
      <w:r w:rsidR="00866FF4">
        <w:rPr>
          <w:rFonts w:ascii="Calibri" w:eastAsia="MS Mincho" w:hAnsi="Calibri" w:cs="Calibri"/>
          <w:lang w:val="en-US"/>
        </w:rPr>
        <w:t>“</w:t>
      </w:r>
      <w:r w:rsidRPr="00F93B6A">
        <w:rPr>
          <w:rFonts w:ascii="Calibri" w:eastAsia="MS Mincho" w:hAnsi="Calibri" w:cs="Calibri"/>
          <w:lang w:val="en-US"/>
        </w:rPr>
        <w:t>that while Fiji has a strong policy base, implementation falters due to weak institutional coherence and overlapping mandates</w:t>
      </w:r>
      <w:r w:rsidR="00866FF4">
        <w:rPr>
          <w:rFonts w:ascii="Calibri" w:eastAsia="MS Mincho" w:hAnsi="Calibri" w:cs="Calibri"/>
          <w:lang w:val="en-US"/>
        </w:rPr>
        <w:t>”</w:t>
      </w:r>
      <w:r w:rsidRPr="00F93B6A">
        <w:rPr>
          <w:rFonts w:ascii="Calibri" w:eastAsia="MS Mincho" w:hAnsi="Calibri" w:cs="Calibri"/>
          <w:lang w:val="en-US"/>
        </w:rPr>
        <w:t xml:space="preserve">. </w:t>
      </w:r>
      <w:r w:rsidR="00866FF4">
        <w:rPr>
          <w:rFonts w:ascii="Calibri" w:eastAsia="MS Mincho" w:hAnsi="Calibri" w:cs="Calibri"/>
          <w:lang w:val="en-US"/>
        </w:rPr>
        <w:t>Another</w:t>
      </w:r>
      <w:r w:rsidRPr="00F93B6A">
        <w:rPr>
          <w:rFonts w:ascii="Calibri" w:eastAsia="MS Mincho" w:hAnsi="Calibri" w:cs="Calibri"/>
          <w:lang w:val="en-US"/>
        </w:rPr>
        <w:t xml:space="preserve"> participant noted, “Everyone has their own plan, but no one brings the plans together.” Others described how integration must be grounded in culture: “If we do not start from the Vanua, the system will always fall apart.”</w:t>
      </w:r>
    </w:p>
    <w:tbl>
      <w:tblPr>
        <w:tblStyle w:val="a0"/>
        <w:tblW w:w="5145" w:type="dxa"/>
        <w:tblInd w:w="-45" w:type="dxa"/>
        <w:tblLayout w:type="fixed"/>
        <w:tblLook w:val="0000" w:firstRow="0" w:lastRow="0" w:firstColumn="0" w:lastColumn="0" w:noHBand="0" w:noVBand="0"/>
      </w:tblPr>
      <w:tblGrid>
        <w:gridCol w:w="5145"/>
      </w:tblGrid>
      <w:tr w:rsidR="00165F36" w14:paraId="052EB0E6" w14:textId="77777777">
        <w:trPr>
          <w:trHeight w:val="80"/>
        </w:trPr>
        <w:tc>
          <w:tcPr>
            <w:tcW w:w="5145" w:type="dxa"/>
          </w:tcPr>
          <w:p w14:paraId="48C123EB" w14:textId="77777777" w:rsidR="005226E9" w:rsidRPr="00A62056" w:rsidRDefault="005226E9" w:rsidP="00030595">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Implications</w:t>
            </w:r>
          </w:p>
          <w:p w14:paraId="6F899877" w14:textId="158847A3"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 xml:space="preserve">The implications of these findings are significant for policymakers, donors, and regional partners. Strengthening integration in </w:t>
            </w:r>
            <w:proofErr w:type="gramStart"/>
            <w:r w:rsidRPr="00F93B6A">
              <w:rPr>
                <w:rFonts w:ascii="Calibri" w:eastAsia="MS Mincho" w:hAnsi="Calibri" w:cs="Calibri"/>
                <w:lang w:val="en-US"/>
              </w:rPr>
              <w:t>tourism governance</w:t>
            </w:r>
            <w:proofErr w:type="gramEnd"/>
            <w:r w:rsidRPr="00F93B6A">
              <w:rPr>
                <w:rFonts w:ascii="Calibri" w:eastAsia="MS Mincho" w:hAnsi="Calibri" w:cs="Calibri"/>
                <w:lang w:val="en-US"/>
              </w:rPr>
              <w:t xml:space="preserve"> will require both institutional reforms and a cultural shift toward collaborative, Vanua-informed planning. For the Fiji Government, this means </w:t>
            </w:r>
            <w:proofErr w:type="spellStart"/>
            <w:r w:rsidRPr="00F93B6A">
              <w:rPr>
                <w:rFonts w:ascii="Calibri" w:eastAsia="MS Mincho" w:hAnsi="Calibri" w:cs="Calibri"/>
                <w:lang w:val="en-US"/>
              </w:rPr>
              <w:t>formalising</w:t>
            </w:r>
            <w:proofErr w:type="spellEnd"/>
            <w:r w:rsidRPr="00F93B6A">
              <w:rPr>
                <w:rFonts w:ascii="Calibri" w:eastAsia="MS Mincho" w:hAnsi="Calibri" w:cs="Calibri"/>
                <w:lang w:val="en-US"/>
              </w:rPr>
              <w:t xml:space="preserve"> inter-ministerial coordination through standing committees or a National Tourism Integration Taskforce that bridges tourism, environment, and rural development portfolios. Provincial councils should be empowered as implementation hubs with clear mandates to align local initiatives with national strategies</w:t>
            </w:r>
            <w:r w:rsidR="00CE3799">
              <w:rPr>
                <w:rFonts w:ascii="Calibri" w:eastAsia="MS Mincho" w:hAnsi="Calibri" w:cs="Calibri"/>
                <w:lang w:val="en-US"/>
              </w:rPr>
              <w:t xml:space="preserve"> and policies</w:t>
            </w:r>
            <w:r w:rsidRPr="00F93B6A">
              <w:rPr>
                <w:rFonts w:ascii="Calibri" w:eastAsia="MS Mincho" w:hAnsi="Calibri" w:cs="Calibri"/>
                <w:lang w:val="en-US"/>
              </w:rPr>
              <w:t>.</w:t>
            </w:r>
          </w:p>
          <w:p w14:paraId="0CAAEE6A" w14:textId="2A32F98D"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Development partners such as MFAT, DFAT, and SPTO can play catalytic roles by funding integration pilots, supporting capacity-building programs for local governance actors, and ensuring that donor-funded projects align with existing national and provincial systems. Inaction will perpetuate inefficiency and vulnerability, whereas investment in integrated governance could yield systemic dividends</w:t>
            </w:r>
            <w:r w:rsidR="00CE3799">
              <w:rPr>
                <w:rFonts w:ascii="Calibri" w:eastAsia="MS Mincho" w:hAnsi="Calibri" w:cs="Calibri"/>
                <w:lang w:val="en-US"/>
              </w:rPr>
              <w:t xml:space="preserve">, </w:t>
            </w:r>
            <w:r w:rsidRPr="00F93B6A">
              <w:rPr>
                <w:rFonts w:ascii="Calibri" w:eastAsia="MS Mincho" w:hAnsi="Calibri" w:cs="Calibri"/>
                <w:lang w:val="en-US"/>
              </w:rPr>
              <w:t>reducing response times in crises, improving resource allocation, and enhancing community trust in government.</w:t>
            </w:r>
          </w:p>
          <w:p w14:paraId="1489229D" w14:textId="77777777"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 xml:space="preserve">At the community level, integration ensures that tourism benefits flow equitably and sustainably. By embedding decision-making within Vanua protocols, communities can lead development processes rather than being passive recipients. Indigenous leadership, when </w:t>
            </w:r>
            <w:proofErr w:type="spellStart"/>
            <w:r w:rsidRPr="00F93B6A">
              <w:rPr>
                <w:rFonts w:ascii="Calibri" w:eastAsia="MS Mincho" w:hAnsi="Calibri" w:cs="Calibri"/>
                <w:lang w:val="en-US"/>
              </w:rPr>
              <w:t>recognised</w:t>
            </w:r>
            <w:proofErr w:type="spellEnd"/>
            <w:r w:rsidRPr="00F93B6A">
              <w:rPr>
                <w:rFonts w:ascii="Calibri" w:eastAsia="MS Mincho" w:hAnsi="Calibri" w:cs="Calibri"/>
                <w:lang w:val="en-US"/>
              </w:rPr>
              <w:t xml:space="preserve"> and resourced, becomes a </w:t>
            </w:r>
            <w:proofErr w:type="spellStart"/>
            <w:r w:rsidRPr="00F93B6A">
              <w:rPr>
                <w:rFonts w:ascii="Calibri" w:eastAsia="MS Mincho" w:hAnsi="Calibri" w:cs="Calibri"/>
                <w:lang w:val="en-US"/>
              </w:rPr>
              <w:t>stabilising</w:t>
            </w:r>
            <w:proofErr w:type="spellEnd"/>
            <w:r w:rsidRPr="00F93B6A">
              <w:rPr>
                <w:rFonts w:ascii="Calibri" w:eastAsia="MS Mincho" w:hAnsi="Calibri" w:cs="Calibri"/>
                <w:lang w:val="en-US"/>
              </w:rPr>
              <w:t xml:space="preserve"> </w:t>
            </w:r>
            <w:r w:rsidRPr="00F93B6A">
              <w:rPr>
                <w:rFonts w:ascii="Calibri" w:eastAsia="MS Mincho" w:hAnsi="Calibri" w:cs="Calibri"/>
                <w:lang w:val="en-US"/>
              </w:rPr>
              <w:t>force in tourism governance. Integration also contributes to climate adaptation by linking tourism planning to resource management, infrastructure resilience, and social safety nets.</w:t>
            </w:r>
          </w:p>
          <w:p w14:paraId="4CE028C6" w14:textId="77777777" w:rsidR="00165F36" w:rsidRPr="00F93B6A" w:rsidRDefault="00165F36" w:rsidP="00030595">
            <w:pPr>
              <w:spacing w:line="276" w:lineRule="auto"/>
              <w:jc w:val="both"/>
              <w:rPr>
                <w:rFonts w:ascii="Calibri" w:eastAsia="Calibri" w:hAnsi="Calibri" w:cs="Calibri"/>
                <w:lang w:val="en-US"/>
              </w:rPr>
            </w:pPr>
          </w:p>
          <w:p w14:paraId="35D67CC7" w14:textId="77777777" w:rsidR="005226E9" w:rsidRPr="00A62056" w:rsidRDefault="005226E9" w:rsidP="00030595">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Limitations and further research</w:t>
            </w:r>
          </w:p>
          <w:p w14:paraId="6E6B5E3A" w14:textId="29592137" w:rsidR="00F93B6A" w:rsidRPr="00F93B6A" w:rsidRDefault="00F93B6A" w:rsidP="00030595">
            <w:pPr>
              <w:spacing w:after="200" w:line="276" w:lineRule="auto"/>
              <w:jc w:val="both"/>
              <w:rPr>
                <w:rFonts w:ascii="Calibri" w:eastAsia="MS Mincho" w:hAnsi="Calibri" w:cs="Calibri"/>
                <w:lang w:val="en-US"/>
              </w:rPr>
            </w:pPr>
            <w:r w:rsidRPr="00F93B6A">
              <w:rPr>
                <w:rFonts w:ascii="Calibri" w:eastAsia="MS Mincho" w:hAnsi="Calibri" w:cs="Calibri"/>
                <w:lang w:val="en-US"/>
              </w:rPr>
              <w:t xml:space="preserve">As a qualitative study, the findings are contextually rich but not statistically </w:t>
            </w:r>
            <w:proofErr w:type="spellStart"/>
            <w:r w:rsidRPr="00F93B6A">
              <w:rPr>
                <w:rFonts w:ascii="Calibri" w:eastAsia="MS Mincho" w:hAnsi="Calibri" w:cs="Calibri"/>
                <w:lang w:val="en-US"/>
              </w:rPr>
              <w:t>generalisable</w:t>
            </w:r>
            <w:proofErr w:type="spellEnd"/>
            <w:r w:rsidRPr="00F93B6A">
              <w:rPr>
                <w:rFonts w:ascii="Calibri" w:eastAsia="MS Mincho" w:hAnsi="Calibri" w:cs="Calibri"/>
                <w:lang w:val="en-US"/>
              </w:rPr>
              <w:t>. The focus on Fiji</w:t>
            </w:r>
            <w:r w:rsidR="00CE3799">
              <w:rPr>
                <w:rFonts w:ascii="Calibri" w:eastAsia="MS Mincho" w:hAnsi="Calibri" w:cs="Calibri"/>
                <w:lang w:val="en-US"/>
              </w:rPr>
              <w:t xml:space="preserve"> and Vanuatu </w:t>
            </w:r>
            <w:proofErr w:type="gramStart"/>
            <w:r w:rsidR="00CE3799">
              <w:rPr>
                <w:rFonts w:ascii="Calibri" w:eastAsia="MS Mincho" w:hAnsi="Calibri" w:cs="Calibri"/>
                <w:lang w:val="en-US"/>
              </w:rPr>
              <w:t>in particular provides</w:t>
            </w:r>
            <w:proofErr w:type="gramEnd"/>
            <w:r w:rsidR="00CE3799">
              <w:rPr>
                <w:rFonts w:ascii="Calibri" w:eastAsia="MS Mincho" w:hAnsi="Calibri" w:cs="Calibri"/>
                <w:lang w:val="en-US"/>
              </w:rPr>
              <w:t xml:space="preserve"> deep insights into governance integration, but further research across other Pacific Island countries, such as Samoa, Vanuatu, and the Solomon Islands, </w:t>
            </w:r>
            <w:r w:rsidRPr="00F93B6A">
              <w:rPr>
                <w:rFonts w:ascii="Calibri" w:eastAsia="MS Mincho" w:hAnsi="Calibri" w:cs="Calibri"/>
                <w:lang w:val="en-US"/>
              </w:rPr>
              <w:t>is needed to identify comparative patterns and region-wide strategies.</w:t>
            </w:r>
          </w:p>
          <w:p w14:paraId="280AD939" w14:textId="66BB900F" w:rsidR="00F93B6A" w:rsidRPr="00F93B6A" w:rsidRDefault="00CE3799" w:rsidP="00030595">
            <w:pPr>
              <w:spacing w:after="200" w:line="276" w:lineRule="auto"/>
              <w:jc w:val="both"/>
              <w:rPr>
                <w:rFonts w:ascii="Calibri" w:eastAsia="MS Mincho" w:hAnsi="Calibri" w:cs="Calibri"/>
                <w:lang w:val="en-US"/>
              </w:rPr>
            </w:pPr>
            <w:r>
              <w:rPr>
                <w:rFonts w:ascii="Calibri" w:eastAsia="MS Mincho" w:hAnsi="Calibri" w:cs="Calibri"/>
                <w:lang w:val="en-US"/>
              </w:rPr>
              <w:t>Logistical challenges, including weather-related delays and restricted access to some provincial areas, also limited data collection</w:t>
            </w:r>
            <w:r w:rsidR="00F93B6A" w:rsidRPr="00F93B6A">
              <w:rPr>
                <w:rFonts w:ascii="Calibri" w:eastAsia="MS Mincho" w:hAnsi="Calibri" w:cs="Calibri"/>
                <w:lang w:val="en-US"/>
              </w:rPr>
              <w:t>. Despite these constraints, the consistency of themes across stakeholders lends credibility to the conclusions. Future research should combine participatory methods with quantitative policy network analysis to measure integration density and resilience outcomes more precisely.</w:t>
            </w:r>
          </w:p>
          <w:p w14:paraId="433C26D0" w14:textId="4549C3D7" w:rsidR="00F93B6A" w:rsidRPr="00F93B6A" w:rsidRDefault="00CE3799" w:rsidP="00030595">
            <w:pPr>
              <w:spacing w:after="200" w:line="276" w:lineRule="auto"/>
              <w:jc w:val="both"/>
              <w:rPr>
                <w:rFonts w:ascii="Calibri" w:eastAsia="MS Mincho" w:hAnsi="Calibri" w:cs="Calibri"/>
                <w:lang w:val="en-US"/>
              </w:rPr>
            </w:pPr>
            <w:r>
              <w:rPr>
                <w:rFonts w:ascii="Calibri" w:eastAsia="MS Mincho" w:hAnsi="Calibri" w:cs="Calibri"/>
                <w:lang w:val="en-US"/>
              </w:rPr>
              <w:t xml:space="preserve">A significant gap remains </w:t>
            </w:r>
            <w:r w:rsidR="00F93B6A" w:rsidRPr="00F93B6A">
              <w:rPr>
                <w:rFonts w:ascii="Calibri" w:eastAsia="MS Mincho" w:hAnsi="Calibri" w:cs="Calibri"/>
                <w:lang w:val="en-US"/>
              </w:rPr>
              <w:t xml:space="preserve">in understanding the financial mechanisms that could support integrated tourism </w:t>
            </w:r>
            <w:r>
              <w:rPr>
                <w:rFonts w:ascii="Calibri" w:eastAsia="MS Mincho" w:hAnsi="Calibri" w:cs="Calibri"/>
                <w:lang w:val="en-US"/>
              </w:rPr>
              <w:t>governance, specifically</w:t>
            </w:r>
            <w:r w:rsidR="00F93B6A" w:rsidRPr="00F93B6A">
              <w:rPr>
                <w:rFonts w:ascii="Calibri" w:eastAsia="MS Mincho" w:hAnsi="Calibri" w:cs="Calibri"/>
                <w:lang w:val="en-US"/>
              </w:rPr>
              <w:t xml:space="preserve">, how national budgets and donor funding streams can be coordinated to </w:t>
            </w:r>
            <w:proofErr w:type="spellStart"/>
            <w:r w:rsidR="00F93B6A" w:rsidRPr="00F93B6A">
              <w:rPr>
                <w:rFonts w:ascii="Calibri" w:eastAsia="MS Mincho" w:hAnsi="Calibri" w:cs="Calibri"/>
                <w:lang w:val="en-US"/>
              </w:rPr>
              <w:t>incentivise</w:t>
            </w:r>
            <w:proofErr w:type="spellEnd"/>
            <w:r w:rsidR="00F93B6A" w:rsidRPr="00F93B6A">
              <w:rPr>
                <w:rFonts w:ascii="Calibri" w:eastAsia="MS Mincho" w:hAnsi="Calibri" w:cs="Calibri"/>
                <w:lang w:val="en-US"/>
              </w:rPr>
              <w:t xml:space="preserve"> cross-sector collaboration. Exploring these fiscal dimensions will be critical for turning integration from policy rhetoric into </w:t>
            </w:r>
            <w:r>
              <w:rPr>
                <w:rFonts w:ascii="Calibri" w:eastAsia="MS Mincho" w:hAnsi="Calibri" w:cs="Calibri"/>
                <w:lang w:val="en-US"/>
              </w:rPr>
              <w:t xml:space="preserve">a </w:t>
            </w:r>
            <w:r w:rsidR="00F93B6A" w:rsidRPr="00F93B6A">
              <w:rPr>
                <w:rFonts w:ascii="Calibri" w:eastAsia="MS Mincho" w:hAnsi="Calibri" w:cs="Calibri"/>
                <w:lang w:val="en-US"/>
              </w:rPr>
              <w:t>practical reality.</w:t>
            </w:r>
          </w:p>
          <w:p w14:paraId="682E5B5D" w14:textId="77777777" w:rsidR="00165F36" w:rsidRDefault="00165F36" w:rsidP="00030595">
            <w:pPr>
              <w:spacing w:before="240" w:after="240" w:line="276" w:lineRule="auto"/>
              <w:jc w:val="both"/>
              <w:rPr>
                <w:rFonts w:ascii="Calibri" w:eastAsia="Calibri" w:hAnsi="Calibri" w:cs="Calibri"/>
                <w:b/>
                <w:color w:val="006600"/>
              </w:rPr>
            </w:pPr>
          </w:p>
          <w:p w14:paraId="5573ECEE" w14:textId="77777777" w:rsidR="00165F36" w:rsidRDefault="00165F36" w:rsidP="00030595">
            <w:pPr>
              <w:spacing w:before="240" w:after="240" w:line="276" w:lineRule="auto"/>
              <w:jc w:val="both"/>
              <w:rPr>
                <w:rFonts w:ascii="Calibri" w:eastAsia="Calibri" w:hAnsi="Calibri" w:cs="Calibri"/>
                <w:b/>
                <w:color w:val="006600"/>
              </w:rPr>
            </w:pPr>
          </w:p>
          <w:p w14:paraId="0C565DAE" w14:textId="77777777" w:rsidR="00165F36" w:rsidRDefault="00165F36" w:rsidP="00030595">
            <w:pPr>
              <w:spacing w:before="240" w:after="240" w:line="276" w:lineRule="auto"/>
              <w:jc w:val="both"/>
              <w:rPr>
                <w:rFonts w:ascii="Calibri" w:eastAsia="Calibri" w:hAnsi="Calibri" w:cs="Calibri"/>
              </w:rPr>
            </w:pPr>
          </w:p>
          <w:p w14:paraId="68548665" w14:textId="77777777" w:rsidR="00165F36" w:rsidRDefault="00165F36" w:rsidP="00030595">
            <w:pPr>
              <w:spacing w:before="200" w:line="276" w:lineRule="auto"/>
              <w:ind w:left="-15"/>
              <w:jc w:val="both"/>
              <w:rPr>
                <w:rFonts w:ascii="Calibri" w:eastAsia="Calibri" w:hAnsi="Calibri" w:cs="Calibri"/>
              </w:rPr>
            </w:pPr>
          </w:p>
          <w:p w14:paraId="0DB4B4A6" w14:textId="77777777" w:rsidR="00165F36" w:rsidRDefault="00165F36" w:rsidP="00030595">
            <w:pPr>
              <w:spacing w:before="240" w:after="240" w:line="276" w:lineRule="auto"/>
              <w:jc w:val="both"/>
              <w:rPr>
                <w:rFonts w:ascii="Calibri" w:eastAsia="Calibri" w:hAnsi="Calibri" w:cs="Calibri"/>
              </w:rPr>
            </w:pPr>
          </w:p>
          <w:p w14:paraId="6883039E" w14:textId="77777777" w:rsidR="00165F36" w:rsidRDefault="00165F36" w:rsidP="00030595">
            <w:pPr>
              <w:spacing w:before="200" w:line="276" w:lineRule="auto"/>
              <w:ind w:left="-15"/>
              <w:jc w:val="both"/>
              <w:rPr>
                <w:rFonts w:ascii="Calibri" w:eastAsia="Calibri" w:hAnsi="Calibri" w:cs="Calibri"/>
              </w:rPr>
            </w:pPr>
          </w:p>
        </w:tc>
      </w:tr>
      <w:tr w:rsidR="00165F36" w14:paraId="5541D28B" w14:textId="77777777">
        <w:tc>
          <w:tcPr>
            <w:tcW w:w="5145" w:type="dxa"/>
          </w:tcPr>
          <w:p w14:paraId="6B451BA1" w14:textId="77777777" w:rsidR="00165F36" w:rsidRDefault="00165F36" w:rsidP="00030595">
            <w:pPr>
              <w:spacing w:before="200" w:line="276" w:lineRule="auto"/>
              <w:ind w:left="-15"/>
              <w:jc w:val="both"/>
              <w:rPr>
                <w:rFonts w:ascii="Calibri" w:eastAsia="Calibri" w:hAnsi="Calibri" w:cs="Calibri"/>
              </w:rPr>
            </w:pPr>
          </w:p>
        </w:tc>
      </w:tr>
      <w:tr w:rsidR="00165F36" w14:paraId="2DA5441F" w14:textId="77777777">
        <w:tc>
          <w:tcPr>
            <w:tcW w:w="5145" w:type="dxa"/>
          </w:tcPr>
          <w:p w14:paraId="5936FD6E" w14:textId="77777777" w:rsidR="00165F36" w:rsidRDefault="00165F36" w:rsidP="00030595">
            <w:pPr>
              <w:pBdr>
                <w:top w:val="nil"/>
                <w:left w:val="nil"/>
                <w:bottom w:val="nil"/>
                <w:right w:val="nil"/>
                <w:between w:val="nil"/>
              </w:pBdr>
              <w:spacing w:line="276" w:lineRule="auto"/>
              <w:ind w:left="720" w:hanging="720"/>
              <w:jc w:val="both"/>
              <w:rPr>
                <w:rFonts w:ascii="Calibri" w:eastAsia="Calibri" w:hAnsi="Calibri" w:cs="Calibri"/>
                <w:color w:val="000000"/>
              </w:rPr>
            </w:pPr>
          </w:p>
        </w:tc>
      </w:tr>
      <w:tr w:rsidR="00165F36" w14:paraId="1D6A9312" w14:textId="77777777">
        <w:tc>
          <w:tcPr>
            <w:tcW w:w="5145" w:type="dxa"/>
          </w:tcPr>
          <w:p w14:paraId="383326F7" w14:textId="77777777" w:rsidR="00165F36" w:rsidRDefault="00165F36" w:rsidP="00030595">
            <w:pPr>
              <w:pBdr>
                <w:top w:val="nil"/>
                <w:left w:val="nil"/>
                <w:bottom w:val="nil"/>
                <w:right w:val="nil"/>
                <w:between w:val="nil"/>
              </w:pBdr>
              <w:spacing w:line="276" w:lineRule="auto"/>
              <w:ind w:left="720" w:hanging="720"/>
              <w:jc w:val="both"/>
              <w:rPr>
                <w:rFonts w:ascii="Calibri" w:eastAsia="Calibri" w:hAnsi="Calibri" w:cs="Calibri"/>
                <w:color w:val="000000"/>
              </w:rPr>
            </w:pPr>
          </w:p>
        </w:tc>
      </w:tr>
    </w:tbl>
    <w:p w14:paraId="1C98DC01" w14:textId="77777777" w:rsidR="00165F36" w:rsidRDefault="00165F36" w:rsidP="003A1248">
      <w:pPr>
        <w:pBdr>
          <w:top w:val="nil"/>
          <w:left w:val="nil"/>
          <w:bottom w:val="nil"/>
          <w:right w:val="nil"/>
          <w:between w:val="nil"/>
        </w:pBdr>
        <w:spacing w:after="240" w:line="276" w:lineRule="auto"/>
        <w:ind w:right="1134"/>
        <w:jc w:val="both"/>
        <w:rPr>
          <w:rFonts w:ascii="Calibri" w:eastAsia="Calibri" w:hAnsi="Calibri" w:cs="Calibri"/>
          <w:b/>
          <w:color w:val="000000"/>
        </w:rPr>
        <w:sectPr w:rsidR="00165F36">
          <w:type w:val="continuous"/>
          <w:pgSz w:w="11907" w:h="16840"/>
          <w:pgMar w:top="1440" w:right="851" w:bottom="851" w:left="851" w:header="135" w:footer="0" w:gutter="0"/>
          <w:cols w:num="2" w:space="720" w:equalWidth="0">
            <w:col w:w="4742" w:space="720"/>
            <w:col w:w="4742" w:space="0"/>
          </w:cols>
          <w:titlePg/>
        </w:sectPr>
      </w:pPr>
    </w:p>
    <w:p w14:paraId="2F3CCA43" w14:textId="77777777" w:rsidR="00165F36" w:rsidRDefault="00165F36" w:rsidP="00030595">
      <w:pPr>
        <w:pBdr>
          <w:top w:val="nil"/>
          <w:left w:val="nil"/>
          <w:bottom w:val="nil"/>
          <w:right w:val="nil"/>
          <w:between w:val="nil"/>
        </w:pBdr>
        <w:spacing w:after="240" w:line="276" w:lineRule="auto"/>
        <w:ind w:right="1134"/>
        <w:jc w:val="both"/>
        <w:rPr>
          <w:rFonts w:ascii="Calibri" w:eastAsia="Calibri" w:hAnsi="Calibri" w:cs="Calibri"/>
          <w:b/>
          <w:color w:val="864EA8"/>
        </w:rPr>
        <w:sectPr w:rsidR="00165F36">
          <w:headerReference w:type="default" r:id="rId15"/>
          <w:type w:val="continuous"/>
          <w:pgSz w:w="11907" w:h="16840"/>
          <w:pgMar w:top="1440" w:right="851" w:bottom="1440" w:left="851" w:header="0" w:footer="0" w:gutter="0"/>
          <w:cols w:space="720"/>
        </w:sectPr>
      </w:pPr>
    </w:p>
    <w:p w14:paraId="52F40EE7" w14:textId="77777777" w:rsidR="002179BC" w:rsidRDefault="002179BC" w:rsidP="00030595">
      <w:pPr>
        <w:pStyle w:val="Heading1"/>
        <w:spacing w:after="0" w:line="276" w:lineRule="auto"/>
        <w:jc w:val="both"/>
        <w:rPr>
          <w:rFonts w:ascii="Calibri" w:eastAsia="Calibri" w:hAnsi="Calibri" w:cs="Calibri"/>
          <w:b w:val="0"/>
          <w:color w:val="006600"/>
          <w:sz w:val="22"/>
        </w:rPr>
      </w:pPr>
      <w:bookmarkStart w:id="1" w:name="_heading=h.44sinio" w:colFirst="0" w:colLast="0"/>
      <w:bookmarkEnd w:id="1"/>
    </w:p>
    <w:tbl>
      <w:tblPr>
        <w:tblW w:w="9468" w:type="dxa"/>
        <w:tblLayout w:type="fixed"/>
        <w:tblLook w:val="0000" w:firstRow="0" w:lastRow="0" w:firstColumn="0" w:lastColumn="0" w:noHBand="0" w:noVBand="0"/>
      </w:tblPr>
      <w:tblGrid>
        <w:gridCol w:w="9468"/>
      </w:tblGrid>
      <w:tr w:rsidR="002179BC" w:rsidRPr="00165486" w14:paraId="2658C5DB" w14:textId="77777777" w:rsidTr="00185D04">
        <w:trPr>
          <w:trHeight w:val="1137"/>
        </w:trPr>
        <w:tc>
          <w:tcPr>
            <w:tcW w:w="9468" w:type="dxa"/>
          </w:tcPr>
          <w:p w14:paraId="2C6D9D6D" w14:textId="77777777" w:rsidR="002179BC" w:rsidRPr="00A62056" w:rsidRDefault="002179BC" w:rsidP="00030595">
            <w:pPr>
              <w:pStyle w:val="BulletPoints"/>
              <w:tabs>
                <w:tab w:val="clear" w:pos="720"/>
              </w:tabs>
              <w:ind w:left="0" w:right="1134"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References</w:t>
            </w:r>
          </w:p>
          <w:p w14:paraId="3C61E8D6" w14:textId="77777777" w:rsidR="00D43B74" w:rsidRDefault="00D43B74" w:rsidP="00030595">
            <w:pPr>
              <w:pStyle w:val="BulletPoints"/>
              <w:numPr>
                <w:ilvl w:val="0"/>
                <w:numId w:val="11"/>
              </w:numPr>
              <w:spacing w:after="0"/>
              <w:rPr>
                <w:rFonts w:asciiTheme="minorHAnsi" w:hAnsiTheme="minorHAnsi" w:cstheme="minorHAnsi"/>
                <w:iCs/>
                <w:sz w:val="22"/>
              </w:rPr>
            </w:pPr>
            <w:r w:rsidRPr="009F5CDD">
              <w:rPr>
                <w:rFonts w:asciiTheme="minorHAnsi" w:hAnsiTheme="minorHAnsi" w:cstheme="minorHAnsi"/>
                <w:iCs/>
                <w:sz w:val="22"/>
                <w:lang w:val="de-DE"/>
              </w:rPr>
              <w:t xml:space="preserve">Aall, C., Dodds, R., Sælensminde, I., &amp; Brendehaug, E. (2015). </w:t>
            </w:r>
            <w:r w:rsidRPr="00D43B74">
              <w:rPr>
                <w:rFonts w:asciiTheme="minorHAnsi" w:hAnsiTheme="minorHAnsi" w:cstheme="minorHAnsi"/>
                <w:iCs/>
                <w:sz w:val="22"/>
              </w:rPr>
              <w:t xml:space="preserve">Introducing the concept of environmental policy integration into the discourse on sustainable tourism: a way to improve </w:t>
            </w:r>
            <w:proofErr w:type="gramStart"/>
            <w:r w:rsidRPr="00D43B74">
              <w:rPr>
                <w:rFonts w:asciiTheme="minorHAnsi" w:hAnsiTheme="minorHAnsi" w:cstheme="minorHAnsi"/>
                <w:iCs/>
                <w:sz w:val="22"/>
              </w:rPr>
              <w:t>policy-making</w:t>
            </w:r>
            <w:proofErr w:type="gramEnd"/>
            <w:r w:rsidRPr="00D43B74">
              <w:rPr>
                <w:rFonts w:asciiTheme="minorHAnsi" w:hAnsiTheme="minorHAnsi" w:cstheme="minorHAnsi"/>
                <w:iCs/>
                <w:sz w:val="22"/>
              </w:rPr>
              <w:t xml:space="preserve"> and </w:t>
            </w:r>
            <w:proofErr w:type="gramStart"/>
            <w:r w:rsidRPr="00D43B74">
              <w:rPr>
                <w:rFonts w:asciiTheme="minorHAnsi" w:hAnsiTheme="minorHAnsi" w:cstheme="minorHAnsi"/>
                <w:iCs/>
                <w:sz w:val="22"/>
              </w:rPr>
              <w:t>implementation?.</w:t>
            </w:r>
            <w:proofErr w:type="gramEnd"/>
            <w:r w:rsidRPr="00D43B74">
              <w:rPr>
                <w:rFonts w:asciiTheme="minorHAnsi" w:hAnsiTheme="minorHAnsi" w:cstheme="minorHAnsi"/>
                <w:iCs/>
                <w:sz w:val="22"/>
              </w:rPr>
              <w:t> </w:t>
            </w:r>
            <w:r w:rsidRPr="00D43B74">
              <w:rPr>
                <w:rFonts w:asciiTheme="minorHAnsi" w:hAnsiTheme="minorHAnsi" w:cstheme="minorHAnsi"/>
                <w:i/>
                <w:iCs/>
                <w:sz w:val="22"/>
              </w:rPr>
              <w:t>Journal of Sustainable Tourism</w:t>
            </w:r>
            <w:r w:rsidRPr="00D43B74">
              <w:rPr>
                <w:rFonts w:asciiTheme="minorHAnsi" w:hAnsiTheme="minorHAnsi" w:cstheme="minorHAnsi"/>
                <w:iCs/>
                <w:sz w:val="22"/>
              </w:rPr>
              <w:t>, </w:t>
            </w:r>
            <w:r w:rsidRPr="00D43B74">
              <w:rPr>
                <w:rFonts w:asciiTheme="minorHAnsi" w:hAnsiTheme="minorHAnsi" w:cstheme="minorHAnsi"/>
                <w:i/>
                <w:iCs/>
                <w:sz w:val="22"/>
              </w:rPr>
              <w:t>23</w:t>
            </w:r>
            <w:r w:rsidRPr="00D43B74">
              <w:rPr>
                <w:rFonts w:asciiTheme="minorHAnsi" w:hAnsiTheme="minorHAnsi" w:cstheme="minorHAnsi"/>
                <w:iCs/>
                <w:sz w:val="22"/>
              </w:rPr>
              <w:t>(7), 977-989.</w:t>
            </w:r>
          </w:p>
          <w:p w14:paraId="132E33A9" w14:textId="391991F9" w:rsidR="00D43B74" w:rsidRDefault="00D43B74" w:rsidP="00030595">
            <w:pPr>
              <w:pStyle w:val="BulletPoints"/>
              <w:numPr>
                <w:ilvl w:val="0"/>
                <w:numId w:val="11"/>
              </w:numPr>
              <w:spacing w:after="0"/>
              <w:rPr>
                <w:rFonts w:asciiTheme="minorHAnsi" w:hAnsiTheme="minorHAnsi" w:cstheme="minorHAnsi"/>
                <w:iCs/>
                <w:sz w:val="22"/>
              </w:rPr>
            </w:pPr>
            <w:r w:rsidRPr="00CE3799">
              <w:rPr>
                <w:rFonts w:asciiTheme="minorHAnsi" w:hAnsiTheme="minorHAnsi" w:cstheme="minorHAnsi"/>
                <w:iCs/>
                <w:sz w:val="22"/>
              </w:rPr>
              <w:t>Becken, S., Whittlesea, E., Loehr, J., &amp; Scott, D. (2020). Tourism and climate change: Evaluating the extent of policy integration. </w:t>
            </w:r>
            <w:r w:rsidRPr="00CE3799">
              <w:rPr>
                <w:rFonts w:asciiTheme="minorHAnsi" w:hAnsiTheme="minorHAnsi" w:cstheme="minorHAnsi"/>
                <w:i/>
                <w:iCs/>
                <w:sz w:val="22"/>
              </w:rPr>
              <w:t xml:space="preserve">Journal of </w:t>
            </w:r>
            <w:r>
              <w:rPr>
                <w:rFonts w:asciiTheme="minorHAnsi" w:hAnsiTheme="minorHAnsi" w:cstheme="minorHAnsi"/>
                <w:i/>
                <w:iCs/>
                <w:sz w:val="22"/>
              </w:rPr>
              <w:t>Sustainable Tourism</w:t>
            </w:r>
            <w:r w:rsidRPr="00CE3799">
              <w:rPr>
                <w:rFonts w:asciiTheme="minorHAnsi" w:hAnsiTheme="minorHAnsi" w:cstheme="minorHAnsi"/>
                <w:iCs/>
                <w:sz w:val="22"/>
              </w:rPr>
              <w:t>, </w:t>
            </w:r>
            <w:r w:rsidRPr="00CE3799">
              <w:rPr>
                <w:rFonts w:asciiTheme="minorHAnsi" w:hAnsiTheme="minorHAnsi" w:cstheme="minorHAnsi"/>
                <w:i/>
                <w:iCs/>
                <w:sz w:val="22"/>
              </w:rPr>
              <w:t>28</w:t>
            </w:r>
            <w:r w:rsidRPr="00CE3799">
              <w:rPr>
                <w:rFonts w:asciiTheme="minorHAnsi" w:hAnsiTheme="minorHAnsi" w:cstheme="minorHAnsi"/>
                <w:iCs/>
                <w:sz w:val="22"/>
              </w:rPr>
              <w:t>(10), 1603-1624.</w:t>
            </w:r>
          </w:p>
          <w:p w14:paraId="6E808CAB" w14:textId="77777777" w:rsidR="00D43B74" w:rsidRDefault="00D43B74" w:rsidP="00030595">
            <w:pPr>
              <w:pStyle w:val="BulletPoints"/>
              <w:numPr>
                <w:ilvl w:val="0"/>
                <w:numId w:val="11"/>
              </w:numPr>
              <w:spacing w:after="0"/>
              <w:rPr>
                <w:rFonts w:asciiTheme="minorHAnsi" w:hAnsiTheme="minorHAnsi" w:cstheme="minorHAnsi"/>
                <w:iCs/>
                <w:sz w:val="22"/>
              </w:rPr>
            </w:pPr>
            <w:r w:rsidRPr="009F5CDD">
              <w:rPr>
                <w:rFonts w:asciiTheme="minorHAnsi" w:hAnsiTheme="minorHAnsi" w:cstheme="minorHAnsi"/>
                <w:iCs/>
                <w:sz w:val="22"/>
                <w:lang w:val="de-DE"/>
              </w:rPr>
              <w:t xml:space="preserve">Brendehaug, E., Aall, C., &amp; Dodds, R. (2017). </w:t>
            </w:r>
            <w:r w:rsidRPr="00CE3799">
              <w:rPr>
                <w:rFonts w:asciiTheme="minorHAnsi" w:hAnsiTheme="minorHAnsi" w:cstheme="minorHAnsi"/>
                <w:iCs/>
                <w:sz w:val="22"/>
              </w:rPr>
              <w:t>Environmental policy integration as a strategy for sustainable tourism planning: issues in implementation. </w:t>
            </w:r>
            <w:r w:rsidRPr="00CE3799">
              <w:rPr>
                <w:rFonts w:asciiTheme="minorHAnsi" w:hAnsiTheme="minorHAnsi" w:cstheme="minorHAnsi"/>
                <w:i/>
                <w:iCs/>
                <w:sz w:val="22"/>
              </w:rPr>
              <w:t>Journal of Sustainable Tourism</w:t>
            </w:r>
            <w:r w:rsidRPr="00CE3799">
              <w:rPr>
                <w:rFonts w:asciiTheme="minorHAnsi" w:hAnsiTheme="minorHAnsi" w:cstheme="minorHAnsi"/>
                <w:iCs/>
                <w:sz w:val="22"/>
              </w:rPr>
              <w:t>, </w:t>
            </w:r>
            <w:r w:rsidRPr="00CE3799">
              <w:rPr>
                <w:rFonts w:asciiTheme="minorHAnsi" w:hAnsiTheme="minorHAnsi" w:cstheme="minorHAnsi"/>
                <w:i/>
                <w:iCs/>
                <w:sz w:val="22"/>
              </w:rPr>
              <w:t>25</w:t>
            </w:r>
            <w:r w:rsidRPr="00CE3799">
              <w:rPr>
                <w:rFonts w:asciiTheme="minorHAnsi" w:hAnsiTheme="minorHAnsi" w:cstheme="minorHAnsi"/>
                <w:iCs/>
                <w:sz w:val="22"/>
              </w:rPr>
              <w:t>(9), 1257-1274.</w:t>
            </w:r>
          </w:p>
          <w:p w14:paraId="54A177C0" w14:textId="77777777" w:rsidR="00D43B74" w:rsidRDefault="00D43B74" w:rsidP="00030595">
            <w:pPr>
              <w:pStyle w:val="BulletPoints"/>
              <w:numPr>
                <w:ilvl w:val="0"/>
                <w:numId w:val="11"/>
              </w:numPr>
              <w:spacing w:after="0"/>
              <w:rPr>
                <w:rFonts w:asciiTheme="minorHAnsi" w:hAnsiTheme="minorHAnsi" w:cstheme="minorHAnsi"/>
                <w:iCs/>
                <w:sz w:val="22"/>
              </w:rPr>
            </w:pPr>
            <w:r w:rsidRPr="00CE3799">
              <w:rPr>
                <w:rFonts w:asciiTheme="minorHAnsi" w:hAnsiTheme="minorHAnsi" w:cstheme="minorHAnsi"/>
                <w:iCs/>
                <w:sz w:val="22"/>
              </w:rPr>
              <w:t xml:space="preserve">Jin, Y., Xi, H., Wang, X., Ren, X., &amp; Yuan, L. (2022). Evaluation of the integration policy in China: Does the integration of culture and tourism promote tourism </w:t>
            </w:r>
            <w:proofErr w:type="gramStart"/>
            <w:r w:rsidRPr="00CE3799">
              <w:rPr>
                <w:rFonts w:asciiTheme="minorHAnsi" w:hAnsiTheme="minorHAnsi" w:cstheme="minorHAnsi"/>
                <w:iCs/>
                <w:sz w:val="22"/>
              </w:rPr>
              <w:t>development?.</w:t>
            </w:r>
            <w:proofErr w:type="gramEnd"/>
            <w:r w:rsidRPr="00CE3799">
              <w:rPr>
                <w:rFonts w:asciiTheme="minorHAnsi" w:hAnsiTheme="minorHAnsi" w:cstheme="minorHAnsi"/>
                <w:iCs/>
                <w:sz w:val="22"/>
              </w:rPr>
              <w:t> </w:t>
            </w:r>
            <w:r w:rsidRPr="00CE3799">
              <w:rPr>
                <w:rFonts w:asciiTheme="minorHAnsi" w:hAnsiTheme="minorHAnsi" w:cstheme="minorHAnsi"/>
                <w:i/>
                <w:iCs/>
                <w:sz w:val="22"/>
              </w:rPr>
              <w:t>Annals of Tourism Research</w:t>
            </w:r>
            <w:r w:rsidRPr="00CE3799">
              <w:rPr>
                <w:rFonts w:asciiTheme="minorHAnsi" w:hAnsiTheme="minorHAnsi" w:cstheme="minorHAnsi"/>
                <w:iCs/>
                <w:sz w:val="22"/>
              </w:rPr>
              <w:t>, </w:t>
            </w:r>
            <w:r w:rsidRPr="00CE3799">
              <w:rPr>
                <w:rFonts w:asciiTheme="minorHAnsi" w:hAnsiTheme="minorHAnsi" w:cstheme="minorHAnsi"/>
                <w:i/>
                <w:iCs/>
                <w:sz w:val="22"/>
              </w:rPr>
              <w:t>97</w:t>
            </w:r>
            <w:r w:rsidRPr="00CE3799">
              <w:rPr>
                <w:rFonts w:asciiTheme="minorHAnsi" w:hAnsiTheme="minorHAnsi" w:cstheme="minorHAnsi"/>
                <w:iCs/>
                <w:sz w:val="22"/>
              </w:rPr>
              <w:t>, 103491.</w:t>
            </w:r>
          </w:p>
          <w:p w14:paraId="517BF5DD" w14:textId="77777777" w:rsidR="00D43B74" w:rsidRDefault="00D43B74" w:rsidP="00030595">
            <w:pPr>
              <w:pStyle w:val="BulletPoints"/>
              <w:numPr>
                <w:ilvl w:val="0"/>
                <w:numId w:val="11"/>
              </w:numPr>
              <w:spacing w:after="0"/>
              <w:rPr>
                <w:rFonts w:asciiTheme="minorHAnsi" w:hAnsiTheme="minorHAnsi" w:cstheme="minorHAnsi"/>
                <w:iCs/>
                <w:sz w:val="22"/>
              </w:rPr>
            </w:pPr>
            <w:r w:rsidRPr="00CE3799">
              <w:rPr>
                <w:rFonts w:asciiTheme="minorHAnsi" w:hAnsiTheme="minorHAnsi" w:cstheme="minorHAnsi"/>
                <w:iCs/>
                <w:sz w:val="22"/>
              </w:rPr>
              <w:t>Lafferty, G., &amp; van Fossen, A. (2001). Integrating the tourism industry: problems and strategies. </w:t>
            </w:r>
            <w:r w:rsidRPr="00CE3799">
              <w:rPr>
                <w:rFonts w:asciiTheme="minorHAnsi" w:hAnsiTheme="minorHAnsi" w:cstheme="minorHAnsi"/>
                <w:i/>
                <w:iCs/>
                <w:sz w:val="22"/>
              </w:rPr>
              <w:t>Tourism Management</w:t>
            </w:r>
            <w:r w:rsidRPr="00CE3799">
              <w:rPr>
                <w:rFonts w:asciiTheme="minorHAnsi" w:hAnsiTheme="minorHAnsi" w:cstheme="minorHAnsi"/>
                <w:iCs/>
                <w:sz w:val="22"/>
              </w:rPr>
              <w:t>, </w:t>
            </w:r>
            <w:r w:rsidRPr="00CE3799">
              <w:rPr>
                <w:rFonts w:asciiTheme="minorHAnsi" w:hAnsiTheme="minorHAnsi" w:cstheme="minorHAnsi"/>
                <w:i/>
                <w:iCs/>
                <w:sz w:val="22"/>
              </w:rPr>
              <w:t>22</w:t>
            </w:r>
            <w:r w:rsidRPr="00CE3799">
              <w:rPr>
                <w:rFonts w:asciiTheme="minorHAnsi" w:hAnsiTheme="minorHAnsi" w:cstheme="minorHAnsi"/>
                <w:iCs/>
                <w:sz w:val="22"/>
              </w:rPr>
              <w:t>(1), 11-19.</w:t>
            </w:r>
          </w:p>
          <w:p w14:paraId="1B93F575" w14:textId="77777777" w:rsidR="00D43B74" w:rsidRDefault="00D43B74" w:rsidP="00030595">
            <w:pPr>
              <w:pStyle w:val="BulletPoints"/>
              <w:numPr>
                <w:ilvl w:val="0"/>
                <w:numId w:val="11"/>
              </w:numPr>
              <w:spacing w:after="0"/>
              <w:rPr>
                <w:rFonts w:asciiTheme="minorHAnsi" w:hAnsiTheme="minorHAnsi" w:cstheme="minorHAnsi"/>
                <w:iCs/>
                <w:sz w:val="22"/>
              </w:rPr>
            </w:pPr>
            <w:r w:rsidRPr="00CE3799">
              <w:rPr>
                <w:rFonts w:asciiTheme="minorHAnsi" w:hAnsiTheme="minorHAnsi" w:cstheme="minorHAnsi"/>
                <w:iCs/>
                <w:sz w:val="22"/>
              </w:rPr>
              <w:t xml:space="preserve">Loulanski, T., &amp; </w:t>
            </w:r>
            <w:proofErr w:type="spellStart"/>
            <w:r w:rsidRPr="00CE3799">
              <w:rPr>
                <w:rFonts w:asciiTheme="minorHAnsi" w:hAnsiTheme="minorHAnsi" w:cstheme="minorHAnsi"/>
                <w:iCs/>
                <w:sz w:val="22"/>
              </w:rPr>
              <w:t>Loulanski</w:t>
            </w:r>
            <w:proofErr w:type="spellEnd"/>
            <w:r w:rsidRPr="00CE3799">
              <w:rPr>
                <w:rFonts w:asciiTheme="minorHAnsi" w:hAnsiTheme="minorHAnsi" w:cstheme="minorHAnsi"/>
                <w:iCs/>
                <w:sz w:val="22"/>
              </w:rPr>
              <w:t>, V. (2011). The sustainable integration of cultural heritage and tourism: A meta-study. </w:t>
            </w:r>
            <w:r w:rsidRPr="00CE3799">
              <w:rPr>
                <w:rFonts w:asciiTheme="minorHAnsi" w:hAnsiTheme="minorHAnsi" w:cstheme="minorHAnsi"/>
                <w:i/>
                <w:iCs/>
                <w:sz w:val="22"/>
              </w:rPr>
              <w:t>Journal of sustainable tourism</w:t>
            </w:r>
            <w:r w:rsidRPr="00CE3799">
              <w:rPr>
                <w:rFonts w:asciiTheme="minorHAnsi" w:hAnsiTheme="minorHAnsi" w:cstheme="minorHAnsi"/>
                <w:iCs/>
                <w:sz w:val="22"/>
              </w:rPr>
              <w:t>, </w:t>
            </w:r>
            <w:r w:rsidRPr="00CE3799">
              <w:rPr>
                <w:rFonts w:asciiTheme="minorHAnsi" w:hAnsiTheme="minorHAnsi" w:cstheme="minorHAnsi"/>
                <w:i/>
                <w:iCs/>
                <w:sz w:val="22"/>
              </w:rPr>
              <w:t>19</w:t>
            </w:r>
            <w:r w:rsidRPr="00CE3799">
              <w:rPr>
                <w:rFonts w:asciiTheme="minorHAnsi" w:hAnsiTheme="minorHAnsi" w:cstheme="minorHAnsi"/>
                <w:iCs/>
                <w:sz w:val="22"/>
              </w:rPr>
              <w:t>(7), 837-862.</w:t>
            </w:r>
          </w:p>
          <w:p w14:paraId="455EBBC7" w14:textId="7D7C93BE" w:rsidR="00D43B74" w:rsidRDefault="00D43B74" w:rsidP="00030595">
            <w:pPr>
              <w:pStyle w:val="BulletPoints"/>
              <w:numPr>
                <w:ilvl w:val="0"/>
                <w:numId w:val="11"/>
              </w:numPr>
              <w:spacing w:after="0"/>
              <w:rPr>
                <w:rFonts w:asciiTheme="minorHAnsi" w:hAnsiTheme="minorHAnsi" w:cstheme="minorHAnsi"/>
                <w:iCs/>
                <w:sz w:val="22"/>
              </w:rPr>
            </w:pPr>
            <w:r w:rsidRPr="00D43B74">
              <w:rPr>
                <w:rFonts w:asciiTheme="minorHAnsi" w:hAnsiTheme="minorHAnsi" w:cstheme="minorHAnsi"/>
                <w:iCs/>
                <w:sz w:val="22"/>
              </w:rPr>
              <w:t>Tourism Fiji. (2024). Key statistics 2024. Tourism Fiji. https://www.tourismfiji.com</w:t>
            </w:r>
          </w:p>
          <w:p w14:paraId="32FE47F0" w14:textId="77777777" w:rsidR="002179BC" w:rsidRPr="00D43B74" w:rsidRDefault="00D43B74" w:rsidP="00D43B74">
            <w:pPr>
              <w:pStyle w:val="BulletPoints"/>
              <w:numPr>
                <w:ilvl w:val="0"/>
                <w:numId w:val="11"/>
              </w:numPr>
              <w:spacing w:after="0"/>
              <w:rPr>
                <w:b/>
              </w:rPr>
            </w:pPr>
            <w:r w:rsidRPr="00CE3799">
              <w:rPr>
                <w:rFonts w:asciiTheme="minorHAnsi" w:hAnsiTheme="minorHAnsi" w:cstheme="minorHAnsi"/>
                <w:iCs/>
                <w:sz w:val="22"/>
              </w:rPr>
              <w:t>United Nations Economic and Social Commission for Asia and the Pacific. (2024). International tourism and economic vulnerability in Small Island Developing States. </w:t>
            </w:r>
            <w:r w:rsidRPr="00CE3799">
              <w:rPr>
                <w:rFonts w:asciiTheme="minorHAnsi" w:hAnsiTheme="minorHAnsi" w:cstheme="minorHAnsi"/>
                <w:i/>
                <w:iCs/>
                <w:sz w:val="22"/>
              </w:rPr>
              <w:t>Asia-Pacific Sustainable Development Journal</w:t>
            </w:r>
            <w:r w:rsidRPr="00CE3799">
              <w:rPr>
                <w:rFonts w:asciiTheme="minorHAnsi" w:hAnsiTheme="minorHAnsi" w:cstheme="minorHAnsi"/>
                <w:iCs/>
                <w:sz w:val="22"/>
              </w:rPr>
              <w:t>, </w:t>
            </w:r>
            <w:r w:rsidRPr="00CE3799">
              <w:rPr>
                <w:rFonts w:asciiTheme="minorHAnsi" w:hAnsiTheme="minorHAnsi" w:cstheme="minorHAnsi"/>
                <w:i/>
                <w:iCs/>
                <w:sz w:val="22"/>
              </w:rPr>
              <w:t>31</w:t>
            </w:r>
            <w:r w:rsidRPr="00CE3799">
              <w:rPr>
                <w:rFonts w:asciiTheme="minorHAnsi" w:hAnsiTheme="minorHAnsi" w:cstheme="minorHAnsi"/>
                <w:iCs/>
                <w:sz w:val="22"/>
              </w:rPr>
              <w:t>(2), 141-159.</w:t>
            </w:r>
          </w:p>
          <w:p w14:paraId="3A889F6C" w14:textId="1720D719" w:rsidR="00D43B74" w:rsidRPr="00165486" w:rsidRDefault="00D43B74" w:rsidP="00D43B74">
            <w:pPr>
              <w:pStyle w:val="BulletPoints"/>
              <w:tabs>
                <w:tab w:val="clear" w:pos="720"/>
              </w:tabs>
              <w:spacing w:after="0"/>
              <w:ind w:left="360" w:firstLine="0"/>
              <w:rPr>
                <w:b/>
              </w:rPr>
            </w:pPr>
          </w:p>
        </w:tc>
      </w:tr>
      <w:tr w:rsidR="002179BC" w:rsidRPr="00511A84" w14:paraId="518FA327" w14:textId="77777777" w:rsidTr="00185D04">
        <w:tc>
          <w:tcPr>
            <w:tcW w:w="9468" w:type="dxa"/>
          </w:tcPr>
          <w:p w14:paraId="36AB314F" w14:textId="77777777" w:rsidR="002179BC" w:rsidRPr="00A62056" w:rsidRDefault="002179BC" w:rsidP="00030595">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Appendices</w:t>
            </w:r>
          </w:p>
          <w:p w14:paraId="608F79DD" w14:textId="39707E96" w:rsidR="002179BC" w:rsidRDefault="00D43B04" w:rsidP="00030595">
            <w:pPr>
              <w:pStyle w:val="BulletPoints"/>
              <w:numPr>
                <w:ilvl w:val="0"/>
                <w:numId w:val="11"/>
              </w:numPr>
              <w:spacing w:after="0"/>
              <w:rPr>
                <w:rFonts w:asciiTheme="minorHAnsi" w:hAnsiTheme="minorHAnsi" w:cstheme="minorHAnsi"/>
                <w:iCs/>
                <w:sz w:val="22"/>
              </w:rPr>
            </w:pPr>
            <w:r>
              <w:rPr>
                <w:rFonts w:asciiTheme="minorHAnsi" w:hAnsiTheme="minorHAnsi" w:cstheme="minorHAnsi"/>
                <w:iCs/>
                <w:sz w:val="22"/>
              </w:rPr>
              <w:t>Draft Pacific Tourism Integration Framework:</w:t>
            </w:r>
          </w:p>
          <w:p w14:paraId="2DC77D95" w14:textId="545FE256" w:rsidR="00D43B04" w:rsidRPr="00D43B04" w:rsidRDefault="00D43B04" w:rsidP="00D43B04">
            <w:pPr>
              <w:pStyle w:val="BulletPoints"/>
              <w:spacing w:after="0"/>
              <w:ind w:left="360"/>
              <w:jc w:val="center"/>
              <w:rPr>
                <w:rFonts w:asciiTheme="minorHAnsi" w:hAnsiTheme="minorHAnsi" w:cstheme="minorHAnsi"/>
                <w:iCs/>
                <w:lang w:val="en-US"/>
              </w:rPr>
            </w:pPr>
            <w:r w:rsidRPr="00D43B04">
              <w:rPr>
                <w:rFonts w:asciiTheme="minorHAnsi" w:hAnsiTheme="minorHAnsi" w:cstheme="minorHAnsi"/>
                <w:iCs/>
                <w:noProof/>
                <w:lang w:val="en-US"/>
              </w:rPr>
              <w:drawing>
                <wp:inline distT="0" distB="0" distL="0" distR="0" wp14:anchorId="2F3F630C" wp14:editId="640469A2">
                  <wp:extent cx="3893820" cy="3893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20" cy="3893820"/>
                          </a:xfrm>
                          <a:prstGeom prst="rect">
                            <a:avLst/>
                          </a:prstGeom>
                          <a:noFill/>
                          <a:ln>
                            <a:noFill/>
                          </a:ln>
                        </pic:spPr>
                      </pic:pic>
                    </a:graphicData>
                  </a:graphic>
                </wp:inline>
              </w:drawing>
            </w:r>
          </w:p>
          <w:p w14:paraId="5F582E2F" w14:textId="77777777" w:rsidR="00D43B04" w:rsidRPr="00A62056" w:rsidRDefault="00D43B04" w:rsidP="00D43B04">
            <w:pPr>
              <w:pStyle w:val="BulletPoints"/>
              <w:tabs>
                <w:tab w:val="clear" w:pos="720"/>
              </w:tabs>
              <w:spacing w:after="0"/>
              <w:ind w:left="360" w:firstLine="0"/>
              <w:rPr>
                <w:rFonts w:asciiTheme="minorHAnsi" w:hAnsiTheme="minorHAnsi" w:cstheme="minorHAnsi"/>
                <w:iCs/>
                <w:sz w:val="22"/>
              </w:rPr>
            </w:pPr>
          </w:p>
          <w:p w14:paraId="56A8BB95" w14:textId="77777777" w:rsidR="002179BC" w:rsidRPr="00A62056" w:rsidRDefault="002179BC" w:rsidP="00030595">
            <w:pPr>
              <w:pStyle w:val="BulletPoints"/>
              <w:tabs>
                <w:tab w:val="clear" w:pos="720"/>
              </w:tabs>
              <w:spacing w:after="0"/>
              <w:rPr>
                <w:rFonts w:ascii="Tahoma" w:hAnsi="Tahoma"/>
                <w:iCs/>
                <w:color w:val="800080"/>
                <w:sz w:val="22"/>
              </w:rPr>
            </w:pPr>
          </w:p>
          <w:p w14:paraId="2231255D" w14:textId="77777777" w:rsidR="002179BC" w:rsidRDefault="002179BC" w:rsidP="00030595">
            <w:pPr>
              <w:pStyle w:val="BulletPoints"/>
              <w:tabs>
                <w:tab w:val="clear" w:pos="720"/>
              </w:tabs>
              <w:spacing w:after="0"/>
              <w:rPr>
                <w:rFonts w:ascii="Tahoma" w:hAnsi="Tahoma"/>
                <w:i/>
                <w:color w:val="800080"/>
                <w:sz w:val="22"/>
              </w:rPr>
            </w:pPr>
          </w:p>
          <w:p w14:paraId="52731948" w14:textId="77777777" w:rsidR="002179BC" w:rsidRDefault="002179BC" w:rsidP="00030595">
            <w:pPr>
              <w:pStyle w:val="BulletPoints"/>
              <w:tabs>
                <w:tab w:val="clear" w:pos="720"/>
              </w:tabs>
              <w:spacing w:after="0"/>
              <w:ind w:firstLine="0"/>
              <w:rPr>
                <w:rFonts w:ascii="Tahoma" w:hAnsi="Tahoma"/>
                <w:i/>
                <w:color w:val="800080"/>
                <w:sz w:val="22"/>
              </w:rPr>
            </w:pPr>
          </w:p>
          <w:p w14:paraId="249DB759" w14:textId="77777777" w:rsidR="002179BC" w:rsidRPr="00511A84" w:rsidRDefault="002179BC" w:rsidP="00030595">
            <w:pPr>
              <w:pStyle w:val="BulletPoints"/>
              <w:tabs>
                <w:tab w:val="clear" w:pos="720"/>
              </w:tabs>
              <w:spacing w:after="0"/>
              <w:ind w:firstLine="0"/>
              <w:rPr>
                <w:rFonts w:ascii="Tahoma" w:hAnsi="Tahoma"/>
                <w:i/>
                <w:color w:val="800080"/>
                <w:sz w:val="22"/>
              </w:rPr>
            </w:pPr>
          </w:p>
        </w:tc>
      </w:tr>
    </w:tbl>
    <w:p w14:paraId="4C993406" w14:textId="77777777" w:rsidR="002179BC" w:rsidRPr="002179BC" w:rsidRDefault="002179BC" w:rsidP="00030595">
      <w:pPr>
        <w:pStyle w:val="Heading2"/>
        <w:jc w:val="both"/>
      </w:pPr>
    </w:p>
    <w:sectPr w:rsidR="002179BC" w:rsidRPr="002179BC"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7B302" w14:textId="77777777" w:rsidR="008B7141" w:rsidRDefault="008B7141">
      <w:r>
        <w:separator/>
      </w:r>
    </w:p>
  </w:endnote>
  <w:endnote w:type="continuationSeparator" w:id="0">
    <w:p w14:paraId="455B9ABE" w14:textId="77777777" w:rsidR="008B7141" w:rsidRDefault="008B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6F069BB-5045-49E1-BB1C-66CF4517769C}"/>
    <w:embedBold r:id="rId2" w:fontKey="{47FEC77C-8A78-4D0B-8ECB-924F28D2067B}"/>
    <w:embedItalic r:id="rId3" w:fontKey="{5E5C4411-A149-4DE8-A721-73ABCC734F0C}"/>
    <w:embedBoldItalic r:id="rId4" w:fontKey="{3626D636-E4C8-4BDA-8D42-504DA3D525F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316CF1D-B2C2-4DEA-902F-EEA5DCC4783F}"/>
    <w:embedItalic r:id="rId6" w:fontKey="{4E56B024-486B-4518-9923-E71F5931C293}"/>
  </w:font>
  <w:font w:name="Calibri">
    <w:panose1 w:val="020F0502020204030204"/>
    <w:charset w:val="00"/>
    <w:family w:val="swiss"/>
    <w:pitch w:val="variable"/>
    <w:sig w:usb0="E4002EFF" w:usb1="C000247B" w:usb2="00000009" w:usb3="00000000" w:csb0="000001FF" w:csb1="00000000"/>
    <w:embedRegular r:id="rId7" w:fontKey="{369669B9-6CD7-45BC-8B92-07FEF422770E}"/>
    <w:embedBold r:id="rId8" w:fontKey="{CC0F8DF0-D869-4843-A75E-BE31227EFDA2}"/>
    <w:embedItalic r:id="rId9" w:fontKey="{F51E8B0E-3342-4A38-81E3-E720AE43F924}"/>
    <w:embedBoldItalic r:id="rId10" w:fontKey="{DFFBF304-D678-47C7-8FCF-952BB9061698}"/>
  </w:font>
  <w:font w:name="Cambria">
    <w:panose1 w:val="02040503050406030204"/>
    <w:charset w:val="00"/>
    <w:family w:val="roman"/>
    <w:pitch w:val="variable"/>
    <w:sig w:usb0="E00006FF" w:usb1="420024FF" w:usb2="02000000" w:usb3="00000000" w:csb0="0000019F" w:csb1="00000000"/>
    <w:embedRegular r:id="rId11" w:fontKey="{AB9F2FD4-F57A-4189-8173-576D05915D9D}"/>
    <w:embedBold r:id="rId12" w:fontKey="{49AE8BAF-2882-4827-89BE-4B35788A6C3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77777777" w:rsidR="00165F36" w:rsidRDefault="00F93B6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77777777"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F93B6A">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58E1EE9F" w:rsidR="00165F36" w:rsidRDefault="00F93B6A">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4E02F3" w:rsidRPr="004E02F3">
            <w:rPr>
              <w:rFonts w:ascii="Calibri" w:eastAsia="Calibri" w:hAnsi="Calibri" w:cs="Calibri"/>
              <w:b/>
              <w:bCs/>
              <w:color w:val="FFFFFF" w:themeColor="background1"/>
              <w:sz w:val="26"/>
              <w:szCs w:val="26"/>
            </w:rPr>
            <w:t>Apisalome Movono</w:t>
          </w:r>
          <w:r>
            <w:rPr>
              <w:rFonts w:ascii="Calibri" w:eastAsia="Calibri" w:hAnsi="Calibri" w:cs="Calibri"/>
              <w:color w:val="FFFFFF"/>
              <w:sz w:val="24"/>
              <w:szCs w:val="24"/>
            </w:rPr>
            <w:t xml:space="preserve"> </w:t>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77777777"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2411" w:type="dxa"/>
      <w:tblInd w:w="-1100" w:type="dxa"/>
      <w:tblBorders>
        <w:top w:val="nil"/>
        <w:left w:val="nil"/>
        <w:bottom w:val="nil"/>
        <w:right w:val="nil"/>
        <w:insideH w:val="nil"/>
        <w:insideV w:val="nil"/>
      </w:tblBorders>
      <w:tblLayout w:type="fixed"/>
      <w:tblLook w:val="0400" w:firstRow="0" w:lastRow="0" w:firstColumn="0" w:lastColumn="0" w:noHBand="0" w:noVBand="1"/>
    </w:tblPr>
    <w:tblGrid>
      <w:gridCol w:w="3197"/>
      <w:gridCol w:w="9214"/>
    </w:tblGrid>
    <w:tr w:rsidR="00165F36" w14:paraId="78863952" w14:textId="77777777" w:rsidTr="004E02F3">
      <w:trPr>
        <w:trHeight w:val="709"/>
      </w:trPr>
      <w:tc>
        <w:tcPr>
          <w:tcW w:w="3197" w:type="dxa"/>
          <w:shd w:val="clear" w:color="auto" w:fill="514DAA"/>
        </w:tcPr>
        <w:p w14:paraId="02CC6E90" w14:textId="77777777" w:rsidR="00165F36" w:rsidRDefault="00F93B6A">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706FA0CF" w:rsidR="00165F36" w:rsidRDefault="00F93B6A">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4E02F3" w:rsidRPr="004E02F3">
            <w:rPr>
              <w:rFonts w:ascii="Calibri" w:eastAsia="Calibri" w:hAnsi="Calibri" w:cs="Calibri"/>
              <w:b/>
              <w:bCs/>
              <w:color w:val="FFFFFF" w:themeColor="background1"/>
              <w:sz w:val="26"/>
              <w:szCs w:val="26"/>
            </w:rPr>
            <w:t>Apisalome Movono</w:t>
          </w:r>
        </w:p>
        <w:p w14:paraId="3C0720E8" w14:textId="77777777" w:rsidR="00165F36" w:rsidRDefault="00F93B6A">
          <w:pPr>
            <w:tabs>
              <w:tab w:val="left" w:pos="3495"/>
            </w:tabs>
          </w:pPr>
          <w:r>
            <w:tab/>
          </w:r>
        </w:p>
      </w:tc>
    </w:tr>
  </w:tbl>
  <w:p w14:paraId="50520536" w14:textId="77777777" w:rsidR="00165F36" w:rsidRDefault="00F93B6A">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76CF7" w14:textId="77777777" w:rsidR="008B7141" w:rsidRDefault="008B7141">
      <w:r>
        <w:separator/>
      </w:r>
    </w:p>
  </w:footnote>
  <w:footnote w:type="continuationSeparator" w:id="0">
    <w:p w14:paraId="3BA25488" w14:textId="77777777" w:rsidR="008B7141" w:rsidRDefault="008B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777777" w:rsidR="00165F36" w:rsidRDefault="00F93B6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77777777"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847"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rsidTr="004E02F3">
      <w:trPr>
        <w:trHeight w:val="1843"/>
      </w:trPr>
      <w:tc>
        <w:tcPr>
          <w:tcW w:w="4050" w:type="dxa"/>
          <w:shd w:val="clear" w:color="auto" w:fill="514DAA"/>
        </w:tcPr>
        <w:p w14:paraId="3A57CC76" w14:textId="77777777" w:rsidR="00165F36" w:rsidRDefault="00F93B6A">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55D0D0AE" w:rsidR="00165F36" w:rsidRDefault="003E3B20">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Pacific Development Field Research Award</w:t>
          </w:r>
        </w:p>
        <w:p w14:paraId="6B3F3451" w14:textId="77777777" w:rsidR="00165F36" w:rsidRDefault="00F93B6A">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1F7CFE8F" w:rsidR="00165F36" w:rsidRDefault="00F93B6A">
          <w:pPr>
            <w:spacing w:line="360" w:lineRule="auto"/>
            <w:rPr>
              <w:rFonts w:ascii="Cambria" w:eastAsia="Cambria" w:hAnsi="Cambria" w:cs="Cambria"/>
              <w:b/>
              <w:sz w:val="24"/>
              <w:szCs w:val="24"/>
            </w:rPr>
          </w:pPr>
          <w:r>
            <w:rPr>
              <w:rFonts w:ascii="Cambria" w:eastAsia="Cambria" w:hAnsi="Cambria" w:cs="Cambria"/>
              <w:b/>
              <w:color w:val="FFFFFF"/>
              <w:sz w:val="26"/>
              <w:szCs w:val="26"/>
            </w:rPr>
            <w:t xml:space="preserve">2025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7777777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D146AA"/>
    <w:multiLevelType w:val="hybridMultilevel"/>
    <w:tmpl w:val="D082C412"/>
    <w:lvl w:ilvl="0" w:tplc="56E4BB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7"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60315977">
    <w:abstractNumId w:val="6"/>
  </w:num>
  <w:num w:numId="2" w16cid:durableId="1783762651">
    <w:abstractNumId w:val="4"/>
  </w:num>
  <w:num w:numId="3" w16cid:durableId="1132481201">
    <w:abstractNumId w:val="1"/>
  </w:num>
  <w:num w:numId="4" w16cid:durableId="414782634">
    <w:abstractNumId w:val="7"/>
  </w:num>
  <w:num w:numId="5" w16cid:durableId="58285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8"/>
  </w:num>
  <w:num w:numId="9" w16cid:durableId="894854224">
    <w:abstractNumId w:val="2"/>
  </w:num>
  <w:num w:numId="10" w16cid:durableId="1534922000">
    <w:abstractNumId w:val="5"/>
  </w:num>
  <w:num w:numId="11" w16cid:durableId="520358308">
    <w:abstractNumId w:val="9"/>
  </w:num>
  <w:num w:numId="12" w16cid:durableId="1401175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oxrAaUpRkEsAAAA"/>
  </w:docVars>
  <w:rsids>
    <w:rsidRoot w:val="00165F36"/>
    <w:rsid w:val="00030595"/>
    <w:rsid w:val="00094937"/>
    <w:rsid w:val="00165F36"/>
    <w:rsid w:val="001C061F"/>
    <w:rsid w:val="001F016E"/>
    <w:rsid w:val="002179BC"/>
    <w:rsid w:val="002A45BD"/>
    <w:rsid w:val="003A1248"/>
    <w:rsid w:val="003E3B20"/>
    <w:rsid w:val="004874FE"/>
    <w:rsid w:val="004E02F3"/>
    <w:rsid w:val="005226E9"/>
    <w:rsid w:val="006700E0"/>
    <w:rsid w:val="00866FF4"/>
    <w:rsid w:val="008B7141"/>
    <w:rsid w:val="009A4BE1"/>
    <w:rsid w:val="009D7C1D"/>
    <w:rsid w:val="009F5CDD"/>
    <w:rsid w:val="00AF33CB"/>
    <w:rsid w:val="00B46CCE"/>
    <w:rsid w:val="00B86F7B"/>
    <w:rsid w:val="00BA5A71"/>
    <w:rsid w:val="00CE3799"/>
    <w:rsid w:val="00D43B04"/>
    <w:rsid w:val="00D43B74"/>
    <w:rsid w:val="00D93133"/>
    <w:rsid w:val="00DC4689"/>
    <w:rsid w:val="00DC782D"/>
    <w:rsid w:val="00F93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NormalWeb">
    <w:name w:val="Normal (Web)"/>
    <w:basedOn w:val="Normal"/>
    <w:uiPriority w:val="99"/>
    <w:semiHidden/>
    <w:unhideWhenUsed/>
    <w:rsid w:val="00F93B6A"/>
    <w:rPr>
      <w:rFonts w:ascii="Times New Roman" w:hAnsi="Times New Roman" w:cs="Times New Roman"/>
      <w:sz w:val="24"/>
      <w:szCs w:val="24"/>
    </w:rPr>
  </w:style>
  <w:style w:type="paragraph" w:styleId="ListParagraph">
    <w:name w:val="List Paragraph"/>
    <w:basedOn w:val="Normal"/>
    <w:uiPriority w:val="34"/>
    <w:qFormat/>
    <w:rsid w:val="00B86F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113306">
      <w:bodyDiv w:val="1"/>
      <w:marLeft w:val="0"/>
      <w:marRight w:val="0"/>
      <w:marTop w:val="0"/>
      <w:marBottom w:val="0"/>
      <w:divBdr>
        <w:top w:val="none" w:sz="0" w:space="0" w:color="auto"/>
        <w:left w:val="none" w:sz="0" w:space="0" w:color="auto"/>
        <w:bottom w:val="none" w:sz="0" w:space="0" w:color="auto"/>
        <w:right w:val="none" w:sz="0" w:space="0" w:color="auto"/>
      </w:divBdr>
    </w:div>
    <w:div w:id="1450508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Phuong Nguyen</cp:lastModifiedBy>
  <cp:revision>4</cp:revision>
  <dcterms:created xsi:type="dcterms:W3CDTF">2025-10-09T20:03:00Z</dcterms:created>
  <dcterms:modified xsi:type="dcterms:W3CDTF">2026-05-27T07:53:00Z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