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3495" w14:textId="3D10DF61" w:rsidR="00A06E74" w:rsidRPr="00A06E74" w:rsidRDefault="00A06E74" w:rsidP="00A06E74">
      <w:pPr>
        <w:tabs>
          <w:tab w:val="left" w:pos="5071"/>
        </w:tabs>
        <w:sectPr w:rsidR="00A06E74" w:rsidRPr="00A06E74" w:rsidSect="00AA704D">
          <w:headerReference w:type="even" r:id="rId11"/>
          <w:headerReference w:type="default" r:id="rId12"/>
          <w:footerReference w:type="even" r:id="rId13"/>
          <w:footerReference w:type="default" r:id="rId14"/>
          <w:headerReference w:type="first" r:id="rId15"/>
          <w:footerReference w:type="first" r:id="rId16"/>
          <w:pgSz w:w="11907" w:h="16840" w:code="9"/>
          <w:pgMar w:top="238" w:right="1418" w:bottom="1021" w:left="1418" w:header="0" w:footer="0" w:gutter="0"/>
          <w:pgNumType w:start="1" w:chapStyle="1"/>
          <w:cols w:space="720"/>
          <w:formProt w:val="0"/>
          <w:titlePg/>
          <w:docGrid w:linePitch="299"/>
        </w:sectPr>
      </w:pPr>
    </w:p>
    <w:p w14:paraId="56731785" w14:textId="656CE19F" w:rsidR="00473FD8" w:rsidRPr="00AF5349" w:rsidRDefault="00A21D22" w:rsidP="00A06E74">
      <w:pPr>
        <w:jc w:val="center"/>
        <w:rPr>
          <w:rFonts w:ascii="Calibri" w:hAnsi="Calibri" w:cs="Calibri"/>
          <w:sz w:val="24"/>
          <w:szCs w:val="24"/>
        </w:rPr>
      </w:pPr>
      <w:r>
        <w:rPr>
          <w:rFonts w:asciiTheme="minorHAnsi" w:hAnsiTheme="minorHAnsi" w:cstheme="minorHAnsi"/>
          <w:sz w:val="24"/>
          <w:szCs w:val="24"/>
        </w:rPr>
        <w:t xml:space="preserve">Kiera </w:t>
      </w:r>
      <w:r w:rsidRPr="00AF5349">
        <w:rPr>
          <w:rFonts w:ascii="Calibri" w:hAnsi="Calibri" w:cs="Calibri"/>
          <w:sz w:val="24"/>
          <w:szCs w:val="24"/>
        </w:rPr>
        <w:t>Nelson</w:t>
      </w:r>
      <w:r w:rsidR="00473FD8" w:rsidRPr="00AF5349">
        <w:rPr>
          <w:rFonts w:ascii="Calibri" w:hAnsi="Calibri" w:cs="Calibri"/>
          <w:sz w:val="24"/>
          <w:szCs w:val="24"/>
        </w:rPr>
        <w:t xml:space="preserve"> | </w:t>
      </w:r>
      <w:r w:rsidR="00A06E74">
        <w:rPr>
          <w:rFonts w:ascii="Calibri" w:hAnsi="Calibri" w:cs="Calibri"/>
          <w:sz w:val="24"/>
          <w:szCs w:val="24"/>
        </w:rPr>
        <w:t xml:space="preserve">Master </w:t>
      </w:r>
      <w:r w:rsidR="005454DE">
        <w:rPr>
          <w:rFonts w:ascii="Calibri" w:hAnsi="Calibri" w:cs="Calibri"/>
          <w:sz w:val="24"/>
          <w:szCs w:val="24"/>
        </w:rPr>
        <w:t>of</w:t>
      </w:r>
      <w:r w:rsidR="00A06E74">
        <w:rPr>
          <w:rFonts w:ascii="Calibri" w:hAnsi="Calibri" w:cs="Calibri"/>
          <w:sz w:val="24"/>
          <w:szCs w:val="24"/>
        </w:rPr>
        <w:t xml:space="preserve"> Health Science </w:t>
      </w:r>
      <w:r w:rsidR="00473FD8" w:rsidRPr="00AF5349">
        <w:rPr>
          <w:rFonts w:ascii="Calibri" w:hAnsi="Calibri" w:cs="Calibri"/>
          <w:sz w:val="24"/>
          <w:szCs w:val="24"/>
        </w:rPr>
        <w:t xml:space="preserve">| </w:t>
      </w:r>
      <w:r w:rsidRPr="00AF5349">
        <w:rPr>
          <w:rFonts w:ascii="Calibri" w:hAnsi="Calibri" w:cs="Calibri"/>
          <w:sz w:val="24"/>
          <w:szCs w:val="24"/>
        </w:rPr>
        <w:t>Massey University</w:t>
      </w:r>
    </w:p>
    <w:p w14:paraId="0A012AA2" w14:textId="42BC53DA" w:rsidR="006859B9" w:rsidRPr="00AF5349" w:rsidRDefault="00AF5349" w:rsidP="00AF5349">
      <w:pPr>
        <w:jc w:val="center"/>
        <w:rPr>
          <w:rFonts w:ascii="Calibri" w:hAnsi="Calibri" w:cs="Calibri"/>
          <w:b/>
          <w:sz w:val="24"/>
          <w:szCs w:val="24"/>
        </w:rPr>
      </w:pPr>
      <w:r w:rsidRPr="00AF5349">
        <w:rPr>
          <w:rFonts w:ascii="Calibri" w:hAnsi="Calibri" w:cs="Calibri"/>
          <w:b/>
          <w:sz w:val="24"/>
          <w:szCs w:val="24"/>
        </w:rPr>
        <w:t>Progress Towards SDG6 on ‘Eua, Tonga: Review of the MORDI T</w:t>
      </w:r>
      <w:r w:rsidR="00016C48">
        <w:rPr>
          <w:rFonts w:ascii="Calibri" w:hAnsi="Calibri" w:cs="Calibri"/>
          <w:b/>
          <w:sz w:val="24"/>
          <w:szCs w:val="24"/>
        </w:rPr>
        <w:t>ong</w:t>
      </w:r>
      <w:r w:rsidR="00C153F2">
        <w:rPr>
          <w:rFonts w:ascii="Calibri" w:hAnsi="Calibri" w:cs="Calibri"/>
          <w:b/>
          <w:sz w:val="24"/>
          <w:szCs w:val="24"/>
        </w:rPr>
        <w:t>a</w:t>
      </w:r>
      <w:r w:rsidR="00016C48">
        <w:rPr>
          <w:rFonts w:ascii="Calibri" w:hAnsi="Calibri" w:cs="Calibri"/>
          <w:b/>
          <w:sz w:val="24"/>
          <w:szCs w:val="24"/>
        </w:rPr>
        <w:t xml:space="preserve"> </w:t>
      </w:r>
      <w:r w:rsidRPr="00AF5349">
        <w:rPr>
          <w:rFonts w:ascii="Calibri" w:hAnsi="Calibri" w:cs="Calibri"/>
          <w:b/>
          <w:sz w:val="24"/>
          <w:szCs w:val="24"/>
        </w:rPr>
        <w:t>T</w:t>
      </w:r>
      <w:r w:rsidR="00016C48">
        <w:rPr>
          <w:rFonts w:ascii="Calibri" w:hAnsi="Calibri" w:cs="Calibri"/>
          <w:b/>
          <w:sz w:val="24"/>
          <w:szCs w:val="24"/>
        </w:rPr>
        <w:t>rust</w:t>
      </w:r>
      <w:r w:rsidRPr="00AF5349">
        <w:rPr>
          <w:rFonts w:ascii="Calibri" w:hAnsi="Calibri" w:cs="Calibri"/>
          <w:b/>
          <w:sz w:val="24"/>
          <w:szCs w:val="24"/>
        </w:rPr>
        <w:t xml:space="preserve"> project to enhance disaster preparedness for water security</w:t>
      </w:r>
    </w:p>
    <w:p w14:paraId="2AF1ECAF" w14:textId="77777777" w:rsidR="006859B9" w:rsidRPr="00473FD8" w:rsidRDefault="006859B9" w:rsidP="00473FD8">
      <w:pPr>
        <w:ind w:firstLine="720"/>
        <w:jc w:val="center"/>
        <w:rPr>
          <w:b/>
          <w:bCs/>
        </w:rPr>
      </w:pPr>
    </w:p>
    <w:tbl>
      <w:tblPr>
        <w:tblStyle w:val="TableGrid"/>
        <w:tblW w:w="11057" w:type="dxa"/>
        <w:jc w:val="center"/>
        <w:shd w:val="clear" w:color="auto" w:fill="D9D9D9" w:themeFill="background1" w:themeFillShade="D9"/>
        <w:tblLook w:val="04A0" w:firstRow="1" w:lastRow="0" w:firstColumn="1" w:lastColumn="0" w:noHBand="0" w:noVBand="1"/>
      </w:tblPr>
      <w:tblGrid>
        <w:gridCol w:w="11057"/>
      </w:tblGrid>
      <w:tr w:rsidR="006859B9" w:rsidRPr="00383BCD" w14:paraId="348A3D10" w14:textId="77777777" w:rsidTr="00D948C9">
        <w:trPr>
          <w:jc w:val="center"/>
        </w:trPr>
        <w:tc>
          <w:tcPr>
            <w:tcW w:w="11057" w:type="dxa"/>
            <w:shd w:val="clear" w:color="auto" w:fill="D9D9D9" w:themeFill="background1" w:themeFillShade="D9"/>
          </w:tcPr>
          <w:p w14:paraId="0654485D" w14:textId="6A68CD95" w:rsidR="00652501" w:rsidRDefault="006859B9" w:rsidP="006859B9">
            <w:pPr>
              <w:rPr>
                <w:rFonts w:asciiTheme="minorHAnsi" w:hAnsiTheme="minorHAnsi" w:cstheme="minorHAnsi"/>
                <w:szCs w:val="22"/>
              </w:rPr>
            </w:pPr>
            <w:r w:rsidRPr="00383BCD">
              <w:rPr>
                <w:rFonts w:asciiTheme="minorHAnsi" w:hAnsiTheme="minorHAnsi" w:cstheme="minorHAnsi"/>
                <w:b/>
                <w:color w:val="864EA8" w:themeColor="accent1" w:themeShade="BF"/>
                <w:sz w:val="24"/>
                <w:szCs w:val="24"/>
              </w:rPr>
              <w:t>Summary</w:t>
            </w:r>
            <w:r w:rsidRPr="00A62056">
              <w:rPr>
                <w:rFonts w:asciiTheme="minorHAnsi" w:hAnsiTheme="minorHAnsi" w:cstheme="minorHAnsi"/>
                <w:b/>
                <w:color w:val="864EA8" w:themeColor="accent1" w:themeShade="BF"/>
                <w:sz w:val="24"/>
                <w:szCs w:val="24"/>
              </w:rPr>
              <w:t>:</w:t>
            </w:r>
            <w:r w:rsidRPr="00A62056">
              <w:rPr>
                <w:rFonts w:asciiTheme="minorHAnsi" w:hAnsiTheme="minorHAnsi" w:cstheme="minorHAnsi"/>
                <w:b/>
                <w:color w:val="864EA8" w:themeColor="accent1" w:themeShade="BF"/>
              </w:rPr>
              <w:t xml:space="preserve"> </w:t>
            </w:r>
            <w:r w:rsidRPr="00A62056">
              <w:rPr>
                <w:rFonts w:asciiTheme="minorHAnsi" w:hAnsiTheme="minorHAnsi" w:cstheme="minorHAnsi"/>
                <w:color w:val="864EA8" w:themeColor="accent1" w:themeShade="BF"/>
                <w:szCs w:val="22"/>
              </w:rPr>
              <w:t xml:space="preserve"> </w:t>
            </w:r>
          </w:p>
          <w:p w14:paraId="19306A54" w14:textId="71FD60D2" w:rsidR="001B7051" w:rsidRDefault="001B7051" w:rsidP="001B7051">
            <w:pPr>
              <w:pStyle w:val="ListParagraph"/>
              <w:numPr>
                <w:ilvl w:val="0"/>
                <w:numId w:val="22"/>
              </w:numPr>
              <w:rPr>
                <w:rFonts w:asciiTheme="minorHAnsi" w:hAnsiTheme="minorHAnsi" w:cstheme="minorHAnsi"/>
                <w:szCs w:val="22"/>
              </w:rPr>
            </w:pPr>
            <w:r>
              <w:rPr>
                <w:rFonts w:asciiTheme="minorHAnsi" w:hAnsiTheme="minorHAnsi" w:cstheme="minorHAnsi"/>
                <w:szCs w:val="22"/>
              </w:rPr>
              <w:t>Enhancement of water security in line with the objectives of SDG6 is a key policy priority for the Kingdom of Tonga. Over the years this has led to a range of water development initiatives, each with its own benefits and challenges. For the island of ‘Eua, one of the most significant was a large-scale rainwater tank installation project implemented in 2020</w:t>
            </w:r>
            <w:r w:rsidR="00890B5B">
              <w:rPr>
                <w:rFonts w:asciiTheme="minorHAnsi" w:hAnsiTheme="minorHAnsi" w:cstheme="minorHAnsi"/>
                <w:szCs w:val="22"/>
              </w:rPr>
              <w:t xml:space="preserve"> </w:t>
            </w:r>
            <w:r>
              <w:rPr>
                <w:rFonts w:asciiTheme="minorHAnsi" w:hAnsiTheme="minorHAnsi" w:cstheme="minorHAnsi"/>
                <w:szCs w:val="22"/>
              </w:rPr>
              <w:t xml:space="preserve">by the NGO </w:t>
            </w:r>
            <w:r w:rsidRPr="003F6766">
              <w:rPr>
                <w:rFonts w:asciiTheme="minorHAnsi" w:hAnsiTheme="minorHAnsi" w:cstheme="minorHAnsi"/>
                <w:i/>
                <w:iCs/>
                <w:szCs w:val="22"/>
              </w:rPr>
              <w:t>Mainstreaming of Rural Development Innovation Tonga Trust</w:t>
            </w:r>
            <w:r>
              <w:rPr>
                <w:rFonts w:asciiTheme="minorHAnsi" w:hAnsiTheme="minorHAnsi" w:cstheme="minorHAnsi"/>
                <w:szCs w:val="22"/>
              </w:rPr>
              <w:t xml:space="preserve"> (MORDI).  </w:t>
            </w:r>
          </w:p>
          <w:p w14:paraId="716BD37B" w14:textId="77777777" w:rsidR="001B7051" w:rsidRDefault="001B7051" w:rsidP="001B7051">
            <w:pPr>
              <w:pStyle w:val="ListParagraph"/>
              <w:rPr>
                <w:rFonts w:asciiTheme="minorHAnsi" w:hAnsiTheme="minorHAnsi" w:cstheme="minorHAnsi"/>
                <w:szCs w:val="22"/>
              </w:rPr>
            </w:pPr>
          </w:p>
          <w:p w14:paraId="509D1403" w14:textId="160E629C" w:rsidR="001B7051" w:rsidRDefault="001B7051" w:rsidP="001B7051">
            <w:pPr>
              <w:pStyle w:val="ListParagraph"/>
              <w:numPr>
                <w:ilvl w:val="0"/>
                <w:numId w:val="22"/>
              </w:numPr>
              <w:rPr>
                <w:rFonts w:asciiTheme="minorHAnsi" w:hAnsiTheme="minorHAnsi" w:cstheme="minorHAnsi"/>
                <w:szCs w:val="22"/>
              </w:rPr>
            </w:pPr>
            <w:r>
              <w:rPr>
                <w:rFonts w:asciiTheme="minorHAnsi" w:hAnsiTheme="minorHAnsi" w:cstheme="minorHAnsi"/>
                <w:szCs w:val="22"/>
              </w:rPr>
              <w:t>This research, carried out in collaboration with MORDI, examined the performance of that project five years on, while considering relevant factors includ</w:t>
            </w:r>
            <w:r w:rsidR="00464E78">
              <w:rPr>
                <w:rFonts w:asciiTheme="minorHAnsi" w:hAnsiTheme="minorHAnsi" w:cstheme="minorHAnsi"/>
                <w:szCs w:val="22"/>
              </w:rPr>
              <w:t xml:space="preserve">ing </w:t>
            </w:r>
            <w:r>
              <w:rPr>
                <w:rFonts w:asciiTheme="minorHAnsi" w:hAnsiTheme="minorHAnsi" w:cstheme="minorHAnsi"/>
                <w:szCs w:val="22"/>
              </w:rPr>
              <w:t>changes in community attitudes and priorities, complementary work carried out by two other agencies, and upgrades to ‘Eua’s reticulated drinking-water network.</w:t>
            </w:r>
          </w:p>
          <w:p w14:paraId="35159A5F" w14:textId="77777777" w:rsidR="001B7051" w:rsidRDefault="001B7051" w:rsidP="001B7051">
            <w:pPr>
              <w:pStyle w:val="ListParagraph"/>
              <w:rPr>
                <w:rFonts w:asciiTheme="minorHAnsi" w:hAnsiTheme="minorHAnsi" w:cstheme="minorHAnsi"/>
                <w:szCs w:val="22"/>
              </w:rPr>
            </w:pPr>
          </w:p>
          <w:p w14:paraId="66113F56" w14:textId="7BF38EA3" w:rsidR="006859B9" w:rsidRDefault="001B7051" w:rsidP="006859B9">
            <w:pPr>
              <w:pStyle w:val="ListParagraph"/>
              <w:numPr>
                <w:ilvl w:val="0"/>
                <w:numId w:val="22"/>
              </w:numPr>
              <w:rPr>
                <w:rFonts w:asciiTheme="minorHAnsi" w:hAnsiTheme="minorHAnsi" w:cstheme="minorHAnsi"/>
                <w:szCs w:val="22"/>
              </w:rPr>
            </w:pPr>
            <w:r w:rsidRPr="00473B7C">
              <w:rPr>
                <w:rFonts w:asciiTheme="minorHAnsi" w:hAnsiTheme="minorHAnsi" w:cstheme="minorHAnsi"/>
                <w:szCs w:val="22"/>
              </w:rPr>
              <w:t>Ov</w:t>
            </w:r>
            <w:r>
              <w:rPr>
                <w:rFonts w:asciiTheme="minorHAnsi" w:hAnsiTheme="minorHAnsi" w:cstheme="minorHAnsi"/>
                <w:szCs w:val="22"/>
              </w:rPr>
              <w:t>e</w:t>
            </w:r>
            <w:r w:rsidRPr="00473B7C">
              <w:rPr>
                <w:rFonts w:asciiTheme="minorHAnsi" w:hAnsiTheme="minorHAnsi" w:cstheme="minorHAnsi"/>
                <w:szCs w:val="22"/>
              </w:rPr>
              <w:t xml:space="preserve">rall, our research indicates positive progress towards water security in ‘Eua as a result of MORDI’s water project. However, further progress is required to achieve SDG6. Several recommendations have been made to MORDI for both consolidating the benefits of existing work, and developing future projects. Some high-level findings of the research </w:t>
            </w:r>
            <w:r w:rsidR="00464E78">
              <w:rPr>
                <w:rFonts w:asciiTheme="minorHAnsi" w:hAnsiTheme="minorHAnsi" w:cstheme="minorHAnsi"/>
                <w:szCs w:val="22"/>
              </w:rPr>
              <w:t>are</w:t>
            </w:r>
            <w:r w:rsidRPr="00473B7C">
              <w:rPr>
                <w:rFonts w:asciiTheme="minorHAnsi" w:hAnsiTheme="minorHAnsi" w:cstheme="minorHAnsi"/>
                <w:szCs w:val="22"/>
              </w:rPr>
              <w:t xml:space="preserve"> that self-sufficiency, including pathways for ongoing resource procurement and training, should be prioritised as an integral part of the development</w:t>
            </w:r>
            <w:r>
              <w:rPr>
                <w:rFonts w:asciiTheme="minorHAnsi" w:hAnsiTheme="minorHAnsi" w:cstheme="minorHAnsi"/>
                <w:szCs w:val="22"/>
              </w:rPr>
              <w:t>;</w:t>
            </w:r>
            <w:r w:rsidRPr="00473B7C">
              <w:rPr>
                <w:rFonts w:asciiTheme="minorHAnsi" w:hAnsiTheme="minorHAnsi" w:cstheme="minorHAnsi"/>
                <w:szCs w:val="22"/>
              </w:rPr>
              <w:t xml:space="preserve"> </w:t>
            </w:r>
            <w:r w:rsidRPr="00473B7C">
              <w:rPr>
                <w:rFonts w:ascii="Calibri" w:hAnsi="Calibri" w:cs="Calibri"/>
                <w:szCs w:val="22"/>
              </w:rPr>
              <w:t>Community Development Plans (</w:t>
            </w:r>
            <w:r w:rsidRPr="00473B7C">
              <w:rPr>
                <w:rFonts w:asciiTheme="minorHAnsi" w:hAnsiTheme="minorHAnsi" w:cstheme="minorHAnsi"/>
                <w:szCs w:val="22"/>
              </w:rPr>
              <w:t xml:space="preserve">CDPs) are a key resource </w:t>
            </w:r>
            <w:r w:rsidR="008C793A">
              <w:rPr>
                <w:rFonts w:asciiTheme="minorHAnsi" w:hAnsiTheme="minorHAnsi" w:cstheme="minorHAnsi"/>
                <w:szCs w:val="22"/>
              </w:rPr>
              <w:t>to in</w:t>
            </w:r>
            <w:r w:rsidRPr="00473B7C">
              <w:rPr>
                <w:rFonts w:asciiTheme="minorHAnsi" w:hAnsiTheme="minorHAnsi" w:cstheme="minorHAnsi"/>
                <w:szCs w:val="22"/>
              </w:rPr>
              <w:t xml:space="preserve">form project design and evaluation across agencies; </w:t>
            </w:r>
            <w:r w:rsidR="00016C48">
              <w:rPr>
                <w:rFonts w:asciiTheme="minorHAnsi" w:hAnsiTheme="minorHAnsi" w:cstheme="minorHAnsi"/>
                <w:szCs w:val="22"/>
              </w:rPr>
              <w:t xml:space="preserve">plans for </w:t>
            </w:r>
            <w:r w:rsidRPr="00473B7C">
              <w:rPr>
                <w:rFonts w:asciiTheme="minorHAnsi" w:hAnsiTheme="minorHAnsi" w:cstheme="minorHAnsi"/>
                <w:szCs w:val="22"/>
              </w:rPr>
              <w:t>implementation</w:t>
            </w:r>
            <w:r w:rsidR="00016C48">
              <w:rPr>
                <w:rFonts w:asciiTheme="minorHAnsi" w:hAnsiTheme="minorHAnsi" w:cstheme="minorHAnsi"/>
                <w:szCs w:val="22"/>
              </w:rPr>
              <w:t xml:space="preserve"> </w:t>
            </w:r>
            <w:r w:rsidR="00016C48" w:rsidRPr="00473B7C">
              <w:rPr>
                <w:rFonts w:asciiTheme="minorHAnsi" w:hAnsiTheme="minorHAnsi" w:cstheme="minorHAnsi"/>
                <w:szCs w:val="22"/>
              </w:rPr>
              <w:t>assessment</w:t>
            </w:r>
            <w:r>
              <w:rPr>
                <w:rFonts w:asciiTheme="minorHAnsi" w:hAnsiTheme="minorHAnsi" w:cstheme="minorHAnsi"/>
                <w:szCs w:val="22"/>
              </w:rPr>
              <w:t xml:space="preserve"> should be </w:t>
            </w:r>
            <w:r w:rsidR="00016C48">
              <w:rPr>
                <w:rFonts w:asciiTheme="minorHAnsi" w:hAnsiTheme="minorHAnsi" w:cstheme="minorHAnsi"/>
                <w:szCs w:val="22"/>
              </w:rPr>
              <w:t>determined</w:t>
            </w:r>
            <w:r>
              <w:rPr>
                <w:rFonts w:asciiTheme="minorHAnsi" w:hAnsiTheme="minorHAnsi" w:cstheme="minorHAnsi"/>
                <w:szCs w:val="22"/>
              </w:rPr>
              <w:t xml:space="preserve"> </w:t>
            </w:r>
            <w:r w:rsidR="00016C48">
              <w:rPr>
                <w:rFonts w:asciiTheme="minorHAnsi" w:hAnsiTheme="minorHAnsi" w:cstheme="minorHAnsi"/>
                <w:szCs w:val="22"/>
              </w:rPr>
              <w:t>in</w:t>
            </w:r>
            <w:r>
              <w:rPr>
                <w:rFonts w:asciiTheme="minorHAnsi" w:hAnsiTheme="minorHAnsi" w:cstheme="minorHAnsi"/>
                <w:szCs w:val="22"/>
              </w:rPr>
              <w:t xml:space="preserve"> the design-phase; and aid efficiency would greatly benefit from i</w:t>
            </w:r>
            <w:r w:rsidRPr="00473B7C">
              <w:rPr>
                <w:rFonts w:asciiTheme="minorHAnsi" w:hAnsiTheme="minorHAnsi" w:cstheme="minorHAnsi"/>
                <w:szCs w:val="22"/>
              </w:rPr>
              <w:t xml:space="preserve">ncreased data transparency and sharing among government </w:t>
            </w:r>
            <w:r>
              <w:rPr>
                <w:rFonts w:asciiTheme="minorHAnsi" w:hAnsiTheme="minorHAnsi" w:cstheme="minorHAnsi"/>
                <w:szCs w:val="22"/>
              </w:rPr>
              <w:t>agencies</w:t>
            </w:r>
            <w:r w:rsidRPr="00473B7C">
              <w:rPr>
                <w:rFonts w:asciiTheme="minorHAnsi" w:hAnsiTheme="minorHAnsi" w:cstheme="minorHAnsi"/>
                <w:szCs w:val="22"/>
              </w:rPr>
              <w:t xml:space="preserve"> and NGOs in Tonga.</w:t>
            </w:r>
          </w:p>
          <w:p w14:paraId="76D3C06E" w14:textId="3A3E912B" w:rsidR="001B7051" w:rsidRPr="001B7051" w:rsidRDefault="001B7051" w:rsidP="001B7051">
            <w:pPr>
              <w:rPr>
                <w:rFonts w:asciiTheme="minorHAnsi" w:hAnsiTheme="minorHAnsi" w:cstheme="minorHAnsi"/>
                <w:szCs w:val="22"/>
              </w:rPr>
            </w:pPr>
          </w:p>
        </w:tc>
      </w:tr>
    </w:tbl>
    <w:p w14:paraId="37F934A6" w14:textId="097ED607" w:rsidR="00CF05B4" w:rsidRDefault="00CF05B4" w:rsidP="00CF05B4">
      <w:pPr>
        <w:rPr>
          <w:i/>
          <w:color w:val="800080"/>
        </w:rPr>
      </w:pPr>
    </w:p>
    <w:p w14:paraId="6574200D" w14:textId="77777777" w:rsidR="00831C12" w:rsidRDefault="00831C12" w:rsidP="00CF05B4">
      <w:pPr>
        <w:pStyle w:val="BulletPoints"/>
        <w:numPr>
          <w:ilvl w:val="0"/>
          <w:numId w:val="0"/>
        </w:numPr>
        <w:jc w:val="left"/>
        <w:rPr>
          <w:b/>
        </w:rPr>
        <w:sectPr w:rsidR="00831C12" w:rsidSect="00AA704D">
          <w:type w:val="continuous"/>
          <w:pgSz w:w="11907" w:h="16840" w:code="9"/>
          <w:pgMar w:top="1418" w:right="1418" w:bottom="1276" w:left="1418" w:header="135" w:footer="397" w:gutter="0"/>
          <w:pgNumType w:start="1"/>
          <w:cols w:space="720"/>
          <w:formProt w:val="0"/>
          <w:titlePg/>
          <w:docGrid w:linePitch="299"/>
        </w:sectPr>
      </w:pPr>
    </w:p>
    <w:tbl>
      <w:tblPr>
        <w:tblW w:w="5103" w:type="dxa"/>
        <w:tblLayout w:type="fixed"/>
        <w:tblLook w:val="0000" w:firstRow="0" w:lastRow="0" w:firstColumn="0" w:lastColumn="0" w:noHBand="0" w:noVBand="0"/>
      </w:tblPr>
      <w:tblGrid>
        <w:gridCol w:w="5103"/>
      </w:tblGrid>
      <w:tr w:rsidR="006344A5" w14:paraId="37F934B3" w14:textId="77777777" w:rsidTr="00831C12">
        <w:trPr>
          <w:trHeight w:val="80"/>
        </w:trPr>
        <w:tc>
          <w:tcPr>
            <w:tcW w:w="5103" w:type="dxa"/>
          </w:tcPr>
          <w:p w14:paraId="34CA071D" w14:textId="15E6BFCE" w:rsidR="003E61FF" w:rsidRPr="00257CBC" w:rsidRDefault="003E61FF" w:rsidP="003E61FF">
            <w:pPr>
              <w:pStyle w:val="BulletPoints"/>
              <w:numPr>
                <w:ilvl w:val="0"/>
                <w:numId w:val="0"/>
              </w:numPr>
              <w:spacing w:after="0"/>
              <w:jc w:val="left"/>
              <w:rPr>
                <w:rFonts w:asciiTheme="minorHAnsi" w:hAnsiTheme="minorHAnsi" w:cstheme="minorHAnsi"/>
                <w:b/>
                <w:color w:val="864EA8" w:themeColor="accent1" w:themeShade="BF"/>
              </w:rPr>
            </w:pPr>
            <w:r>
              <w:rPr>
                <w:rFonts w:asciiTheme="minorHAnsi" w:hAnsiTheme="minorHAnsi" w:cstheme="minorHAnsi"/>
                <w:b/>
                <w:color w:val="864EA8" w:themeColor="accent1" w:themeShade="BF"/>
              </w:rPr>
              <w:t>The Development Issue</w:t>
            </w:r>
          </w:p>
          <w:p w14:paraId="10016E19" w14:textId="50590BCA" w:rsidR="009506D3" w:rsidRPr="003E61FF" w:rsidRDefault="0076490C" w:rsidP="003E61FF">
            <w:pPr>
              <w:pStyle w:val="BulletPoints"/>
              <w:numPr>
                <w:ilvl w:val="0"/>
                <w:numId w:val="0"/>
              </w:numPr>
              <w:jc w:val="left"/>
              <w:rPr>
                <w:rFonts w:asciiTheme="minorHAnsi" w:hAnsiTheme="minorHAnsi" w:cstheme="minorHAnsi"/>
                <w:b/>
                <w:color w:val="864EA8" w:themeColor="accent1" w:themeShade="BF"/>
                <w:szCs w:val="24"/>
              </w:rPr>
            </w:pPr>
            <w:r>
              <w:rPr>
                <w:rFonts w:ascii="Calibri" w:hAnsi="Calibri" w:cs="Calibri"/>
                <w:iCs/>
                <w:sz w:val="22"/>
                <w:szCs w:val="22"/>
              </w:rPr>
              <w:t>A</w:t>
            </w:r>
            <w:r w:rsidR="00662B71" w:rsidRPr="00794E03">
              <w:rPr>
                <w:rFonts w:ascii="Calibri" w:hAnsi="Calibri" w:cs="Calibri"/>
                <w:iCs/>
                <w:sz w:val="22"/>
                <w:szCs w:val="22"/>
              </w:rPr>
              <w:t xml:space="preserve">ccess to safe water </w:t>
            </w:r>
            <w:r>
              <w:rPr>
                <w:rFonts w:ascii="Calibri" w:hAnsi="Calibri" w:cs="Calibri"/>
                <w:iCs/>
                <w:sz w:val="22"/>
                <w:szCs w:val="22"/>
              </w:rPr>
              <w:t>is</w:t>
            </w:r>
            <w:r w:rsidRPr="00794E03">
              <w:rPr>
                <w:rFonts w:ascii="Calibri" w:hAnsi="Calibri" w:cs="Calibri"/>
                <w:iCs/>
                <w:sz w:val="22"/>
                <w:szCs w:val="22"/>
              </w:rPr>
              <w:t xml:space="preserve"> </w:t>
            </w:r>
            <w:r w:rsidR="00662B71" w:rsidRPr="00794E03">
              <w:rPr>
                <w:rFonts w:ascii="Calibri" w:hAnsi="Calibri" w:cs="Calibri"/>
                <w:iCs/>
                <w:sz w:val="22"/>
                <w:szCs w:val="22"/>
              </w:rPr>
              <w:t>a fundamental</w:t>
            </w:r>
            <w:r w:rsidR="00662B71">
              <w:rPr>
                <w:rFonts w:ascii="Calibri" w:hAnsi="Calibri" w:cs="Calibri"/>
                <w:iCs/>
                <w:sz w:val="22"/>
                <w:szCs w:val="22"/>
              </w:rPr>
              <w:t xml:space="preserve"> </w:t>
            </w:r>
            <w:r w:rsidR="00662B71" w:rsidRPr="00794E03">
              <w:rPr>
                <w:rFonts w:ascii="Calibri" w:hAnsi="Calibri" w:cs="Calibri"/>
                <w:iCs/>
                <w:sz w:val="22"/>
                <w:szCs w:val="22"/>
              </w:rPr>
              <w:t>human right</w:t>
            </w:r>
            <w:r w:rsidR="000B6446">
              <w:rPr>
                <w:rFonts w:ascii="Calibri" w:hAnsi="Calibri" w:cs="Calibri"/>
                <w:iCs/>
                <w:sz w:val="22"/>
                <w:szCs w:val="22"/>
              </w:rPr>
              <w:t xml:space="preserve">, </w:t>
            </w:r>
            <w:r w:rsidR="00662B71" w:rsidRPr="00794E03">
              <w:rPr>
                <w:rFonts w:ascii="Calibri" w:hAnsi="Calibri" w:cs="Calibri"/>
                <w:iCs/>
                <w:sz w:val="22"/>
                <w:szCs w:val="22"/>
              </w:rPr>
              <w:t>essential for health</w:t>
            </w:r>
            <w:r>
              <w:rPr>
                <w:rFonts w:ascii="Calibri" w:hAnsi="Calibri" w:cs="Calibri"/>
                <w:iCs/>
                <w:sz w:val="22"/>
                <w:szCs w:val="22"/>
              </w:rPr>
              <w:t xml:space="preserve"> and</w:t>
            </w:r>
            <w:r w:rsidR="00662B71" w:rsidRPr="00794E03">
              <w:rPr>
                <w:rFonts w:ascii="Calibri" w:hAnsi="Calibri" w:cs="Calibri"/>
                <w:iCs/>
                <w:sz w:val="22"/>
                <w:szCs w:val="22"/>
              </w:rPr>
              <w:t xml:space="preserve"> development</w:t>
            </w:r>
            <w:r w:rsidR="000B6446">
              <w:rPr>
                <w:rFonts w:ascii="Calibri" w:hAnsi="Calibri" w:cs="Calibri"/>
                <w:iCs/>
                <w:sz w:val="22"/>
                <w:szCs w:val="22"/>
              </w:rPr>
              <w:t xml:space="preserve">. It </w:t>
            </w:r>
            <w:r w:rsidR="007D2B2C">
              <w:rPr>
                <w:rFonts w:ascii="Calibri" w:hAnsi="Calibri" w:cs="Calibri"/>
                <w:iCs/>
                <w:sz w:val="22"/>
                <w:szCs w:val="22"/>
              </w:rPr>
              <w:t>is the focus of t</w:t>
            </w:r>
            <w:r w:rsidR="00662B71" w:rsidRPr="00794E03">
              <w:rPr>
                <w:rFonts w:ascii="Calibri" w:hAnsi="Calibri" w:cs="Calibri"/>
                <w:iCs/>
                <w:sz w:val="22"/>
                <w:szCs w:val="22"/>
              </w:rPr>
              <w:t>he United Nations</w:t>
            </w:r>
            <w:r w:rsidR="007D2B2C">
              <w:rPr>
                <w:rFonts w:ascii="Calibri" w:hAnsi="Calibri" w:cs="Calibri"/>
                <w:iCs/>
                <w:sz w:val="22"/>
                <w:szCs w:val="22"/>
              </w:rPr>
              <w:t>’</w:t>
            </w:r>
            <w:r w:rsidR="00662B71" w:rsidRPr="00794E03">
              <w:rPr>
                <w:rFonts w:ascii="Calibri" w:hAnsi="Calibri" w:cs="Calibri"/>
                <w:iCs/>
                <w:sz w:val="22"/>
                <w:szCs w:val="22"/>
              </w:rPr>
              <w:t xml:space="preserve"> Sustainable</w:t>
            </w:r>
            <w:r w:rsidR="00662B71">
              <w:rPr>
                <w:rFonts w:ascii="Calibri" w:hAnsi="Calibri" w:cs="Calibri"/>
                <w:iCs/>
                <w:sz w:val="22"/>
                <w:szCs w:val="22"/>
              </w:rPr>
              <w:t xml:space="preserve"> </w:t>
            </w:r>
            <w:r w:rsidR="00662B71" w:rsidRPr="00794E03">
              <w:rPr>
                <w:rFonts w:ascii="Calibri" w:hAnsi="Calibri" w:cs="Calibri"/>
                <w:iCs/>
                <w:sz w:val="22"/>
                <w:szCs w:val="22"/>
              </w:rPr>
              <w:t xml:space="preserve">Development </w:t>
            </w:r>
            <w:r w:rsidR="00662B71">
              <w:rPr>
                <w:rFonts w:ascii="Calibri" w:hAnsi="Calibri" w:cs="Calibri"/>
                <w:iCs/>
                <w:sz w:val="22"/>
                <w:szCs w:val="22"/>
              </w:rPr>
              <w:t>Goal</w:t>
            </w:r>
            <w:r w:rsidR="007D2B2C">
              <w:rPr>
                <w:rFonts w:ascii="Calibri" w:hAnsi="Calibri" w:cs="Calibri"/>
                <w:iCs/>
                <w:sz w:val="22"/>
                <w:szCs w:val="22"/>
              </w:rPr>
              <w:t xml:space="preserve"> 6</w:t>
            </w:r>
            <w:r w:rsidR="00756BE9">
              <w:rPr>
                <w:rFonts w:ascii="Calibri" w:hAnsi="Calibri" w:cs="Calibri"/>
                <w:iCs/>
                <w:sz w:val="22"/>
                <w:szCs w:val="22"/>
              </w:rPr>
              <w:t>:</w:t>
            </w:r>
            <w:r w:rsidR="007D2B2C">
              <w:rPr>
                <w:rFonts w:ascii="Calibri" w:hAnsi="Calibri" w:cs="Calibri"/>
                <w:iCs/>
                <w:sz w:val="22"/>
                <w:szCs w:val="22"/>
              </w:rPr>
              <w:t xml:space="preserve"> </w:t>
            </w:r>
            <w:r w:rsidR="007D2B2C" w:rsidRPr="000B6446">
              <w:rPr>
                <w:rFonts w:ascii="Calibri" w:hAnsi="Calibri" w:cs="Calibri"/>
                <w:i/>
                <w:sz w:val="22"/>
                <w:szCs w:val="22"/>
              </w:rPr>
              <w:t>to ensure availability of sustainable management of water and sanitation for all</w:t>
            </w:r>
            <w:r w:rsidR="007D2B2C">
              <w:rPr>
                <w:rFonts w:ascii="Calibri" w:hAnsi="Calibri" w:cs="Calibri"/>
                <w:iCs/>
                <w:sz w:val="22"/>
                <w:szCs w:val="22"/>
              </w:rPr>
              <w:t xml:space="preserve">. This is a key challenge for the Kingdom of Tonga. </w:t>
            </w:r>
            <w:r w:rsidR="00662B71" w:rsidRPr="00794E03">
              <w:rPr>
                <w:rFonts w:ascii="Calibri" w:hAnsi="Calibri" w:cs="Calibri"/>
                <w:iCs/>
                <w:sz w:val="22"/>
                <w:szCs w:val="22"/>
              </w:rPr>
              <w:t xml:space="preserve">In 2022, Tonga reported </w:t>
            </w:r>
            <w:r w:rsidR="00662B71" w:rsidRPr="00794E03">
              <w:rPr>
                <w:rFonts w:ascii="Calibri" w:hAnsi="Calibri" w:cs="Calibri"/>
                <w:sz w:val="22"/>
                <w:szCs w:val="22"/>
              </w:rPr>
              <w:t>some of the lowest rates of access to safely managed water and sanitation in the world, at 30% and 34%, respectivel</w:t>
            </w:r>
            <w:r w:rsidR="009A36F7">
              <w:rPr>
                <w:rFonts w:ascii="Calibri" w:hAnsi="Calibri" w:cs="Calibri"/>
                <w:iCs/>
                <w:sz w:val="22"/>
                <w:szCs w:val="22"/>
              </w:rPr>
              <w:t>y (</w:t>
            </w:r>
            <w:r w:rsidR="004D46CF">
              <w:rPr>
                <w:rFonts w:ascii="Calibri" w:hAnsi="Calibri" w:cs="Calibri"/>
                <w:iCs/>
                <w:sz w:val="22"/>
                <w:szCs w:val="22"/>
              </w:rPr>
              <w:t>United Nations</w:t>
            </w:r>
            <w:r w:rsidR="00B663DF">
              <w:rPr>
                <w:rFonts w:ascii="Calibri" w:hAnsi="Calibri" w:cs="Calibri"/>
                <w:iCs/>
                <w:sz w:val="22"/>
                <w:szCs w:val="22"/>
              </w:rPr>
              <w:t xml:space="preserve"> 202</w:t>
            </w:r>
            <w:r w:rsidR="004D46CF">
              <w:rPr>
                <w:rFonts w:ascii="Calibri" w:hAnsi="Calibri" w:cs="Calibri"/>
                <w:iCs/>
                <w:sz w:val="22"/>
                <w:szCs w:val="22"/>
              </w:rPr>
              <w:t>4</w:t>
            </w:r>
            <w:r w:rsidR="00B663DF">
              <w:rPr>
                <w:rFonts w:ascii="Calibri" w:hAnsi="Calibri" w:cs="Calibri"/>
                <w:iCs/>
                <w:sz w:val="22"/>
                <w:szCs w:val="22"/>
              </w:rPr>
              <w:t>)</w:t>
            </w:r>
            <w:r w:rsidR="00662B71" w:rsidRPr="00794E03">
              <w:rPr>
                <w:rFonts w:ascii="Calibri" w:hAnsi="Calibri" w:cs="Calibri"/>
                <w:sz w:val="22"/>
                <w:szCs w:val="22"/>
              </w:rPr>
              <w:t xml:space="preserve">. </w:t>
            </w:r>
          </w:p>
          <w:p w14:paraId="0452FC30" w14:textId="350BD925" w:rsidR="00662B71" w:rsidRPr="00794E03" w:rsidRDefault="00662B71" w:rsidP="00662B71">
            <w:pPr>
              <w:pStyle w:val="BulletPoints"/>
              <w:numPr>
                <w:ilvl w:val="0"/>
                <w:numId w:val="0"/>
              </w:numPr>
              <w:spacing w:after="0"/>
              <w:jc w:val="left"/>
              <w:rPr>
                <w:rFonts w:ascii="Calibri" w:hAnsi="Calibri" w:cs="Calibri"/>
                <w:iCs/>
                <w:sz w:val="22"/>
                <w:szCs w:val="22"/>
              </w:rPr>
            </w:pPr>
            <w:r w:rsidRPr="00794E03">
              <w:rPr>
                <w:rFonts w:ascii="Calibri" w:hAnsi="Calibri" w:cs="Calibri"/>
                <w:sz w:val="22"/>
                <w:szCs w:val="22"/>
              </w:rPr>
              <w:t>As a key development priority for Tonga, significant work and expenditure has aimed to enhance water security through improvements to rainwater harvesting (household and community), expansion of groundwater access,</w:t>
            </w:r>
            <w:r>
              <w:rPr>
                <w:rFonts w:asciiTheme="minorHAnsi" w:hAnsiTheme="minorHAnsi" w:cstheme="minorHAnsi"/>
                <w:b/>
                <w:noProof/>
                <w:color w:val="864EA8" w:themeColor="accent1" w:themeShade="BF"/>
                <w14:ligatures w14:val="standardContextual"/>
              </w:rPr>
              <w:t xml:space="preserve"> </w:t>
            </w:r>
            <w:r w:rsidRPr="00794E03">
              <w:rPr>
                <w:rFonts w:ascii="Calibri" w:hAnsi="Calibri" w:cs="Calibri"/>
                <w:sz w:val="22"/>
                <w:szCs w:val="22"/>
              </w:rPr>
              <w:t xml:space="preserve">and development of water treatment capabilities. However, despite this focus, the effect of these projects on water security remains </w:t>
            </w:r>
            <w:r w:rsidR="00537E81">
              <w:rPr>
                <w:rFonts w:ascii="Calibri" w:hAnsi="Calibri" w:cs="Calibri"/>
                <w:sz w:val="22"/>
                <w:szCs w:val="22"/>
              </w:rPr>
              <w:t>poorly characterised</w:t>
            </w:r>
            <w:r w:rsidRPr="00794E03">
              <w:rPr>
                <w:rFonts w:ascii="Calibri" w:hAnsi="Calibri" w:cs="Calibri"/>
                <w:sz w:val="22"/>
                <w:szCs w:val="22"/>
              </w:rPr>
              <w:t xml:space="preserve"> due to limitations in evaluation and data sharing</w:t>
            </w:r>
            <w:r w:rsidR="00C83412">
              <w:rPr>
                <w:rFonts w:ascii="Calibri" w:hAnsi="Calibri" w:cs="Calibri"/>
                <w:sz w:val="22"/>
                <w:szCs w:val="22"/>
              </w:rPr>
              <w:t xml:space="preserve"> (Government of Tonga</w:t>
            </w:r>
            <w:r w:rsidR="00E90356">
              <w:rPr>
                <w:rFonts w:ascii="Calibri" w:hAnsi="Calibri" w:cs="Calibri"/>
                <w:sz w:val="22"/>
                <w:szCs w:val="22"/>
              </w:rPr>
              <w:t xml:space="preserve"> </w:t>
            </w:r>
            <w:r w:rsidR="00C83412">
              <w:rPr>
                <w:rFonts w:ascii="Calibri" w:hAnsi="Calibri" w:cs="Calibri"/>
                <w:sz w:val="22"/>
                <w:szCs w:val="22"/>
              </w:rPr>
              <w:t xml:space="preserve">2024). </w:t>
            </w:r>
          </w:p>
          <w:p w14:paraId="157663EE" w14:textId="77777777" w:rsidR="009506D3" w:rsidRDefault="009506D3" w:rsidP="009506D3">
            <w:pPr>
              <w:pStyle w:val="BulletPoints"/>
              <w:numPr>
                <w:ilvl w:val="0"/>
                <w:numId w:val="0"/>
              </w:numPr>
              <w:spacing w:after="0"/>
              <w:ind w:left="720" w:hanging="720"/>
              <w:jc w:val="left"/>
              <w:rPr>
                <w:rFonts w:ascii="Calibri" w:hAnsi="Calibri" w:cs="Calibri"/>
                <w:sz w:val="22"/>
                <w:szCs w:val="22"/>
              </w:rPr>
            </w:pPr>
          </w:p>
          <w:p w14:paraId="04EEFC1E" w14:textId="1AF66E34" w:rsidR="00662B71" w:rsidRDefault="00662B71" w:rsidP="00662B71">
            <w:pPr>
              <w:pStyle w:val="BulletPoints"/>
              <w:numPr>
                <w:ilvl w:val="0"/>
                <w:numId w:val="0"/>
              </w:numPr>
              <w:spacing w:after="0"/>
              <w:jc w:val="left"/>
              <w:rPr>
                <w:rFonts w:ascii="Calibri" w:hAnsi="Calibri" w:cs="Calibri"/>
                <w:sz w:val="22"/>
                <w:szCs w:val="22"/>
              </w:rPr>
            </w:pPr>
            <w:r w:rsidRPr="00794E03">
              <w:rPr>
                <w:rFonts w:ascii="Calibri" w:hAnsi="Calibri" w:cs="Calibri"/>
                <w:sz w:val="22"/>
                <w:szCs w:val="22"/>
              </w:rPr>
              <w:t xml:space="preserve">To understand the opportunities and barriers in the delivery and evaluation of water </w:t>
            </w:r>
            <w:r w:rsidR="00206F1C">
              <w:rPr>
                <w:rFonts w:ascii="Calibri" w:hAnsi="Calibri" w:cs="Calibri"/>
                <w:sz w:val="22"/>
                <w:szCs w:val="22"/>
              </w:rPr>
              <w:t>security</w:t>
            </w:r>
            <w:r w:rsidR="00206F1C" w:rsidRPr="00794E03">
              <w:rPr>
                <w:rFonts w:ascii="Calibri" w:hAnsi="Calibri" w:cs="Calibri"/>
                <w:sz w:val="22"/>
                <w:szCs w:val="22"/>
              </w:rPr>
              <w:t xml:space="preserve"> </w:t>
            </w:r>
            <w:r w:rsidRPr="00794E03">
              <w:rPr>
                <w:rFonts w:ascii="Calibri" w:hAnsi="Calibri" w:cs="Calibri"/>
                <w:sz w:val="22"/>
                <w:szCs w:val="22"/>
              </w:rPr>
              <w:t xml:space="preserve">projects, this research focused on the island of ‘Eua as a case-study. ‘Eua is an </w:t>
            </w:r>
            <w:r w:rsidR="003D5582">
              <w:rPr>
                <w:rFonts w:ascii="Calibri" w:hAnsi="Calibri" w:cs="Calibri"/>
                <w:sz w:val="22"/>
                <w:szCs w:val="22"/>
              </w:rPr>
              <w:t>i</w:t>
            </w:r>
            <w:r w:rsidRPr="00794E03">
              <w:rPr>
                <w:rFonts w:ascii="Calibri" w:hAnsi="Calibri" w:cs="Calibri"/>
                <w:sz w:val="22"/>
                <w:szCs w:val="22"/>
              </w:rPr>
              <w:t xml:space="preserve">sland </w:t>
            </w:r>
            <w:r w:rsidR="008063E6">
              <w:rPr>
                <w:rFonts w:ascii="Calibri" w:hAnsi="Calibri" w:cs="Calibri"/>
                <w:sz w:val="22"/>
                <w:szCs w:val="22"/>
              </w:rPr>
              <w:t xml:space="preserve">located </w:t>
            </w:r>
            <w:r w:rsidR="000B6446">
              <w:rPr>
                <w:rFonts w:ascii="Calibri" w:hAnsi="Calibri" w:cs="Calibri"/>
                <w:sz w:val="22"/>
                <w:szCs w:val="22"/>
              </w:rPr>
              <w:t xml:space="preserve">approximately </w:t>
            </w:r>
            <w:r w:rsidRPr="00794E03">
              <w:rPr>
                <w:rFonts w:ascii="Calibri" w:hAnsi="Calibri" w:cs="Calibri"/>
                <w:sz w:val="22"/>
                <w:szCs w:val="22"/>
              </w:rPr>
              <w:t>20</w:t>
            </w:r>
            <w:r w:rsidR="00206F1C">
              <w:rPr>
                <w:rFonts w:ascii="Calibri" w:hAnsi="Calibri" w:cs="Calibri"/>
                <w:sz w:val="22"/>
                <w:szCs w:val="22"/>
              </w:rPr>
              <w:t xml:space="preserve"> </w:t>
            </w:r>
            <w:r w:rsidRPr="00794E03">
              <w:rPr>
                <w:rFonts w:ascii="Calibri" w:hAnsi="Calibri" w:cs="Calibri"/>
                <w:sz w:val="22"/>
                <w:szCs w:val="22"/>
              </w:rPr>
              <w:t xml:space="preserve">km </w:t>
            </w:r>
            <w:r w:rsidR="00206F1C">
              <w:rPr>
                <w:rFonts w:ascii="Calibri" w:hAnsi="Calibri" w:cs="Calibri"/>
                <w:sz w:val="22"/>
                <w:szCs w:val="22"/>
              </w:rPr>
              <w:t>s</w:t>
            </w:r>
            <w:r w:rsidR="00206F1C" w:rsidRPr="00794E03">
              <w:rPr>
                <w:rFonts w:ascii="Calibri" w:hAnsi="Calibri" w:cs="Calibri"/>
                <w:sz w:val="22"/>
                <w:szCs w:val="22"/>
              </w:rPr>
              <w:t>outh</w:t>
            </w:r>
            <w:r w:rsidR="00206F1C">
              <w:rPr>
                <w:rFonts w:ascii="Calibri" w:hAnsi="Calibri" w:cs="Calibri"/>
                <w:sz w:val="22"/>
                <w:szCs w:val="22"/>
              </w:rPr>
              <w:t>east</w:t>
            </w:r>
            <w:r w:rsidR="00206F1C" w:rsidRPr="00794E03">
              <w:rPr>
                <w:rFonts w:ascii="Calibri" w:hAnsi="Calibri" w:cs="Calibri"/>
                <w:sz w:val="22"/>
                <w:szCs w:val="22"/>
              </w:rPr>
              <w:t xml:space="preserve"> </w:t>
            </w:r>
            <w:r w:rsidRPr="00794E03">
              <w:rPr>
                <w:rFonts w:ascii="Calibri" w:hAnsi="Calibri" w:cs="Calibri"/>
                <w:sz w:val="22"/>
                <w:szCs w:val="22"/>
              </w:rPr>
              <w:t xml:space="preserve">of </w:t>
            </w:r>
            <w:r>
              <w:rPr>
                <w:rFonts w:ascii="Calibri" w:hAnsi="Calibri" w:cs="Calibri"/>
                <w:sz w:val="22"/>
                <w:szCs w:val="22"/>
              </w:rPr>
              <w:t>Tongatapu</w:t>
            </w:r>
            <w:r w:rsidRPr="00794E03">
              <w:rPr>
                <w:rFonts w:ascii="Calibri" w:hAnsi="Calibri" w:cs="Calibri"/>
                <w:sz w:val="22"/>
                <w:szCs w:val="22"/>
              </w:rPr>
              <w:t xml:space="preserve">, home to approximately 5,000 people, divided into </w:t>
            </w:r>
            <w:r w:rsidR="00B4406D">
              <w:rPr>
                <w:rFonts w:ascii="Calibri" w:hAnsi="Calibri" w:cs="Calibri"/>
                <w:sz w:val="22"/>
                <w:szCs w:val="22"/>
              </w:rPr>
              <w:t>two</w:t>
            </w:r>
            <w:r w:rsidR="00B4406D" w:rsidRPr="00794E03">
              <w:rPr>
                <w:rFonts w:ascii="Calibri" w:hAnsi="Calibri" w:cs="Calibri"/>
                <w:sz w:val="22"/>
                <w:szCs w:val="22"/>
              </w:rPr>
              <w:t xml:space="preserve"> </w:t>
            </w:r>
            <w:r w:rsidRPr="00794E03">
              <w:rPr>
                <w:rFonts w:ascii="Calibri" w:hAnsi="Calibri" w:cs="Calibri"/>
                <w:sz w:val="22"/>
                <w:szCs w:val="22"/>
              </w:rPr>
              <w:t xml:space="preserve">districts and 15 communities. </w:t>
            </w:r>
          </w:p>
          <w:p w14:paraId="50A463FD" w14:textId="1EC01282" w:rsidR="00662B71" w:rsidRDefault="00220C07" w:rsidP="00662B71">
            <w:pPr>
              <w:pStyle w:val="BulletPoints"/>
              <w:numPr>
                <w:ilvl w:val="0"/>
                <w:numId w:val="0"/>
              </w:numPr>
              <w:spacing w:after="0"/>
              <w:jc w:val="left"/>
              <w:rPr>
                <w:rFonts w:ascii="Calibri" w:hAnsi="Calibri" w:cs="Calibri"/>
                <w:sz w:val="22"/>
                <w:szCs w:val="22"/>
              </w:rPr>
            </w:pPr>
            <w:r>
              <w:rPr>
                <w:rFonts w:ascii="Calibri" w:hAnsi="Calibri" w:cs="Calibri"/>
                <w:noProof/>
                <w:sz w:val="22"/>
                <w:szCs w:val="22"/>
              </w:rPr>
              <w:drawing>
                <wp:inline distT="0" distB="0" distL="0" distR="0" wp14:anchorId="632EB8AF" wp14:editId="5C466EDF">
                  <wp:extent cx="3102610" cy="1794933"/>
                  <wp:effectExtent l="0" t="0" r="0" b="0"/>
                  <wp:docPr id="1754911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11531" name="Picture 1754911531"/>
                          <pic:cNvPicPr/>
                        </pic:nvPicPr>
                        <pic:blipFill>
                          <a:blip r:embed="rId17">
                            <a:extLst>
                              <a:ext uri="{28A0092B-C50C-407E-A947-70E740481C1C}">
                                <a14:useLocalDpi xmlns:a14="http://schemas.microsoft.com/office/drawing/2010/main" val="0"/>
                              </a:ext>
                            </a:extLst>
                          </a:blip>
                          <a:stretch>
                            <a:fillRect/>
                          </a:stretch>
                        </pic:blipFill>
                        <pic:spPr>
                          <a:xfrm>
                            <a:off x="0" y="0"/>
                            <a:ext cx="3125404" cy="1808120"/>
                          </a:xfrm>
                          <a:prstGeom prst="rect">
                            <a:avLst/>
                          </a:prstGeom>
                        </pic:spPr>
                      </pic:pic>
                    </a:graphicData>
                  </a:graphic>
                </wp:inline>
              </w:drawing>
            </w:r>
          </w:p>
          <w:p w14:paraId="719DA86E" w14:textId="27AA7CCE" w:rsidR="00662B71" w:rsidRDefault="00662B71" w:rsidP="00662B71">
            <w:pPr>
              <w:pStyle w:val="BulletPoints"/>
              <w:numPr>
                <w:ilvl w:val="0"/>
                <w:numId w:val="0"/>
              </w:numPr>
              <w:spacing w:after="0"/>
              <w:jc w:val="left"/>
              <w:rPr>
                <w:rFonts w:ascii="Calibri" w:hAnsi="Calibri" w:cs="Calibri"/>
                <w:sz w:val="22"/>
                <w:szCs w:val="22"/>
              </w:rPr>
            </w:pPr>
            <w:r w:rsidRPr="00794E03">
              <w:rPr>
                <w:rFonts w:ascii="Calibri" w:hAnsi="Calibri" w:cs="Calibri"/>
                <w:sz w:val="22"/>
                <w:szCs w:val="22"/>
              </w:rPr>
              <w:t>Since 2020, ‘Eua’s communities have been the</w:t>
            </w:r>
            <w:r>
              <w:rPr>
                <w:rFonts w:ascii="Calibri" w:hAnsi="Calibri" w:cs="Calibri"/>
                <w:sz w:val="22"/>
                <w:szCs w:val="22"/>
              </w:rPr>
              <w:t xml:space="preserve"> </w:t>
            </w:r>
            <w:r w:rsidRPr="00794E03">
              <w:rPr>
                <w:rFonts w:ascii="Calibri" w:hAnsi="Calibri" w:cs="Calibri"/>
                <w:sz w:val="22"/>
                <w:szCs w:val="22"/>
              </w:rPr>
              <w:t>recipients of projects to enhance water security delivered by</w:t>
            </w:r>
            <w:r w:rsidR="0007043C">
              <w:rPr>
                <w:rFonts w:ascii="Calibri" w:hAnsi="Calibri" w:cs="Calibri"/>
                <w:sz w:val="22"/>
                <w:szCs w:val="22"/>
              </w:rPr>
              <w:t>:</w:t>
            </w:r>
            <w:r w:rsidR="00D41056">
              <w:rPr>
                <w:rFonts w:ascii="Calibri" w:hAnsi="Calibri" w:cs="Calibri"/>
                <w:sz w:val="22"/>
                <w:szCs w:val="22"/>
              </w:rPr>
              <w:t xml:space="preserve"> </w:t>
            </w:r>
            <w:r w:rsidRPr="00794E03">
              <w:rPr>
                <w:rFonts w:ascii="Calibri" w:hAnsi="Calibri" w:cs="Calibri"/>
                <w:sz w:val="22"/>
                <w:szCs w:val="22"/>
              </w:rPr>
              <w:t>Mainstreaming of Rural Development Innovation Tonga Trust (MORDI), Live and Learn Environmental Education (</w:t>
            </w:r>
            <w:r w:rsidR="00F84D04">
              <w:rPr>
                <w:rFonts w:ascii="Calibri" w:hAnsi="Calibri" w:cs="Calibri"/>
                <w:sz w:val="22"/>
                <w:szCs w:val="22"/>
              </w:rPr>
              <w:t>Live and Learn</w:t>
            </w:r>
            <w:r w:rsidRPr="00794E03">
              <w:rPr>
                <w:rFonts w:ascii="Calibri" w:hAnsi="Calibri" w:cs="Calibri"/>
                <w:sz w:val="22"/>
                <w:szCs w:val="22"/>
              </w:rPr>
              <w:t xml:space="preserve">), Tonga’s Ministry of Meteorology, Information, Disaster Management, Environment, Climate Change and Communications (MEIDECC), and Sione’s </w:t>
            </w:r>
            <w:r w:rsidR="00F84D04">
              <w:rPr>
                <w:rFonts w:ascii="Calibri" w:hAnsi="Calibri" w:cs="Calibri"/>
                <w:sz w:val="22"/>
                <w:szCs w:val="22"/>
              </w:rPr>
              <w:t>Foundation</w:t>
            </w:r>
            <w:r w:rsidRPr="00794E03">
              <w:rPr>
                <w:rFonts w:ascii="Calibri" w:hAnsi="Calibri" w:cs="Calibri"/>
                <w:sz w:val="22"/>
                <w:szCs w:val="22"/>
              </w:rPr>
              <w:t xml:space="preserve">. </w:t>
            </w:r>
            <w:r>
              <w:rPr>
                <w:rFonts w:ascii="Calibri" w:hAnsi="Calibri" w:cs="Calibri"/>
                <w:sz w:val="22"/>
                <w:szCs w:val="22"/>
              </w:rPr>
              <w:t xml:space="preserve">MORDI, </w:t>
            </w:r>
            <w:r w:rsidR="00F84D04">
              <w:rPr>
                <w:rFonts w:ascii="Calibri" w:hAnsi="Calibri" w:cs="Calibri"/>
                <w:sz w:val="22"/>
                <w:szCs w:val="22"/>
              </w:rPr>
              <w:t>Live and Learn</w:t>
            </w:r>
            <w:r>
              <w:rPr>
                <w:rFonts w:ascii="Calibri" w:hAnsi="Calibri" w:cs="Calibri"/>
                <w:sz w:val="22"/>
                <w:szCs w:val="22"/>
              </w:rPr>
              <w:t xml:space="preserve">, and MEIDECC’s projects focused on household rainwater catchment systems, while Sione’s </w:t>
            </w:r>
            <w:r w:rsidR="00F84D04">
              <w:rPr>
                <w:rFonts w:ascii="Calibri" w:hAnsi="Calibri" w:cs="Calibri"/>
                <w:sz w:val="22"/>
                <w:szCs w:val="22"/>
              </w:rPr>
              <w:t>Foundation</w:t>
            </w:r>
            <w:r>
              <w:rPr>
                <w:rFonts w:ascii="Calibri" w:hAnsi="Calibri" w:cs="Calibri"/>
                <w:sz w:val="22"/>
                <w:szCs w:val="22"/>
              </w:rPr>
              <w:t xml:space="preserve"> improved the </w:t>
            </w:r>
            <w:r w:rsidR="007333EB">
              <w:rPr>
                <w:rFonts w:ascii="Calibri" w:hAnsi="Calibri" w:cs="Calibri"/>
                <w:sz w:val="22"/>
                <w:szCs w:val="22"/>
              </w:rPr>
              <w:t xml:space="preserve">performance of the </w:t>
            </w:r>
            <w:r>
              <w:rPr>
                <w:rFonts w:ascii="Calibri" w:hAnsi="Calibri" w:cs="Calibri"/>
                <w:sz w:val="22"/>
                <w:szCs w:val="22"/>
              </w:rPr>
              <w:t xml:space="preserve">treatment plant for the reticulated network. </w:t>
            </w:r>
          </w:p>
          <w:p w14:paraId="23C72F22" w14:textId="77777777" w:rsidR="00D61C19" w:rsidRDefault="00D61C19" w:rsidP="00662B71">
            <w:pPr>
              <w:pStyle w:val="BulletPoints"/>
              <w:numPr>
                <w:ilvl w:val="0"/>
                <w:numId w:val="0"/>
              </w:numPr>
              <w:spacing w:after="0"/>
              <w:jc w:val="left"/>
              <w:rPr>
                <w:rFonts w:ascii="Calibri" w:hAnsi="Calibri" w:cs="Calibri"/>
                <w:sz w:val="22"/>
                <w:szCs w:val="22"/>
              </w:rPr>
            </w:pPr>
          </w:p>
          <w:p w14:paraId="729092A3" w14:textId="77777777" w:rsidR="000B6446" w:rsidRPr="005413A8" w:rsidRDefault="005F6B00" w:rsidP="000B6446">
            <w:pPr>
              <w:pStyle w:val="BulletPoints"/>
              <w:numPr>
                <w:ilvl w:val="0"/>
                <w:numId w:val="0"/>
              </w:numPr>
              <w:spacing w:after="0"/>
              <w:jc w:val="left"/>
              <w:rPr>
                <w:rFonts w:ascii="Calibri" w:hAnsi="Calibri" w:cs="Calibri"/>
                <w:sz w:val="22"/>
                <w:szCs w:val="22"/>
              </w:rPr>
            </w:pPr>
            <w:r>
              <w:rPr>
                <w:rFonts w:ascii="Calibri" w:hAnsi="Calibri" w:cs="Calibri"/>
                <w:sz w:val="22"/>
                <w:szCs w:val="22"/>
              </w:rPr>
              <w:lastRenderedPageBreak/>
              <w:t>W</w:t>
            </w:r>
            <w:r w:rsidRPr="00794E03">
              <w:rPr>
                <w:rFonts w:ascii="Calibri" w:hAnsi="Calibri" w:cs="Calibri"/>
                <w:sz w:val="22"/>
                <w:szCs w:val="22"/>
              </w:rPr>
              <w:t xml:space="preserve">ater sources on ‘Eua </w:t>
            </w:r>
            <w:r>
              <w:rPr>
                <w:rFonts w:ascii="Calibri" w:hAnsi="Calibri" w:cs="Calibri"/>
                <w:sz w:val="22"/>
                <w:szCs w:val="22"/>
              </w:rPr>
              <w:t>typically differ</w:t>
            </w:r>
            <w:r w:rsidRPr="00794E03">
              <w:rPr>
                <w:rFonts w:ascii="Calibri" w:hAnsi="Calibri" w:cs="Calibri"/>
                <w:sz w:val="22"/>
                <w:szCs w:val="22"/>
              </w:rPr>
              <w:t xml:space="preserve"> by use</w:t>
            </w:r>
            <w:r w:rsidR="007333EB">
              <w:rPr>
                <w:rFonts w:ascii="Calibri" w:hAnsi="Calibri" w:cs="Calibri"/>
                <w:sz w:val="22"/>
                <w:szCs w:val="22"/>
              </w:rPr>
              <w:t>. D</w:t>
            </w:r>
            <w:r w:rsidRPr="00794E03">
              <w:rPr>
                <w:rFonts w:ascii="Calibri" w:hAnsi="Calibri" w:cs="Calibri"/>
                <w:sz w:val="22"/>
                <w:szCs w:val="22"/>
              </w:rPr>
              <w:t xml:space="preserve">rinking water </w:t>
            </w:r>
            <w:r w:rsidR="007333EB">
              <w:rPr>
                <w:rFonts w:ascii="Calibri" w:hAnsi="Calibri" w:cs="Calibri"/>
                <w:sz w:val="22"/>
                <w:szCs w:val="22"/>
              </w:rPr>
              <w:t xml:space="preserve">is </w:t>
            </w:r>
            <w:r w:rsidRPr="00794E03">
              <w:rPr>
                <w:rFonts w:ascii="Calibri" w:hAnsi="Calibri" w:cs="Calibri"/>
                <w:sz w:val="22"/>
                <w:szCs w:val="22"/>
              </w:rPr>
              <w:t xml:space="preserve">primarily drawn from tanks connected to household roof catchments, </w:t>
            </w:r>
            <w:r>
              <w:rPr>
                <w:rFonts w:ascii="Calibri" w:hAnsi="Calibri" w:cs="Calibri"/>
                <w:sz w:val="22"/>
                <w:szCs w:val="22"/>
              </w:rPr>
              <w:t>while</w:t>
            </w:r>
            <w:r w:rsidRPr="00794E03">
              <w:rPr>
                <w:rFonts w:ascii="Calibri" w:hAnsi="Calibri" w:cs="Calibri"/>
                <w:sz w:val="22"/>
                <w:szCs w:val="22"/>
              </w:rPr>
              <w:t xml:space="preserve"> </w:t>
            </w:r>
            <w:r w:rsidR="007333EB">
              <w:rPr>
                <w:rFonts w:ascii="Calibri" w:hAnsi="Calibri" w:cs="Calibri"/>
                <w:sz w:val="22"/>
                <w:szCs w:val="22"/>
              </w:rPr>
              <w:t>water for other uses</w:t>
            </w:r>
            <w:r>
              <w:rPr>
                <w:rFonts w:ascii="Calibri" w:hAnsi="Calibri" w:cs="Calibri"/>
                <w:sz w:val="22"/>
                <w:szCs w:val="22"/>
              </w:rPr>
              <w:t xml:space="preserve"> is</w:t>
            </w:r>
            <w:r w:rsidRPr="00794E03">
              <w:rPr>
                <w:rFonts w:ascii="Calibri" w:hAnsi="Calibri" w:cs="Calibri"/>
                <w:sz w:val="22"/>
                <w:szCs w:val="22"/>
              </w:rPr>
              <w:t xml:space="preserve"> primarily drawn from the reticulated supply. This division is typical of communities across Tonga</w:t>
            </w:r>
            <w:r w:rsidR="00B90435">
              <w:rPr>
                <w:rFonts w:ascii="Calibri" w:hAnsi="Calibri" w:cs="Calibri"/>
                <w:sz w:val="22"/>
                <w:szCs w:val="22"/>
              </w:rPr>
              <w:t>.</w:t>
            </w:r>
            <w:r w:rsidRPr="00794E03">
              <w:rPr>
                <w:rFonts w:ascii="Calibri" w:hAnsi="Calibri" w:cs="Calibri"/>
                <w:sz w:val="22"/>
                <w:szCs w:val="22"/>
              </w:rPr>
              <w:t xml:space="preserve"> </w:t>
            </w:r>
            <w:r w:rsidR="00B90435">
              <w:rPr>
                <w:rFonts w:ascii="Calibri" w:hAnsi="Calibri" w:cs="Calibri"/>
                <w:sz w:val="22"/>
                <w:szCs w:val="22"/>
              </w:rPr>
              <w:t>H</w:t>
            </w:r>
            <w:r w:rsidRPr="00794E03">
              <w:rPr>
                <w:rFonts w:ascii="Calibri" w:hAnsi="Calibri" w:cs="Calibri"/>
                <w:sz w:val="22"/>
                <w:szCs w:val="22"/>
              </w:rPr>
              <w:t>owever</w:t>
            </w:r>
            <w:r>
              <w:rPr>
                <w:rFonts w:ascii="Calibri" w:hAnsi="Calibri" w:cs="Calibri"/>
                <w:sz w:val="22"/>
                <w:szCs w:val="22"/>
              </w:rPr>
              <w:t>,</w:t>
            </w:r>
            <w:r w:rsidRPr="00794E03">
              <w:rPr>
                <w:rFonts w:ascii="Calibri" w:hAnsi="Calibri" w:cs="Calibri"/>
                <w:sz w:val="22"/>
                <w:szCs w:val="22"/>
              </w:rPr>
              <w:t xml:space="preserve"> while most Tongan communities rely on groundwater for reticulated supplies, ‘Eua’s reticulated network utilises a combination of surface water and groundwater</w:t>
            </w:r>
            <w:r w:rsidR="0007043C">
              <w:rPr>
                <w:rFonts w:ascii="Calibri" w:hAnsi="Calibri" w:cs="Calibri"/>
                <w:sz w:val="22"/>
                <w:szCs w:val="22"/>
              </w:rPr>
              <w:t xml:space="preserve"> </w:t>
            </w:r>
            <w:r w:rsidR="000B6446" w:rsidRPr="00794E03">
              <w:rPr>
                <w:rFonts w:ascii="Calibri" w:hAnsi="Calibri" w:cs="Calibri"/>
                <w:sz w:val="22"/>
                <w:szCs w:val="22"/>
              </w:rPr>
              <w:t>(being one of the few Tongan islands with access to fresh surface water)</w:t>
            </w:r>
            <w:r w:rsidR="000B6446">
              <w:rPr>
                <w:rFonts w:ascii="Calibri" w:hAnsi="Calibri" w:cs="Calibri"/>
                <w:sz w:val="22"/>
                <w:szCs w:val="22"/>
              </w:rPr>
              <w:t>. As such, unlike most reticulated supplied in Tonga, ‘</w:t>
            </w:r>
            <w:r w:rsidR="000B6446" w:rsidRPr="005413A8">
              <w:rPr>
                <w:rFonts w:ascii="Calibri" w:hAnsi="Calibri" w:cs="Calibri"/>
                <w:sz w:val="22"/>
                <w:szCs w:val="22"/>
              </w:rPr>
              <w:t xml:space="preserve">Eua’s supply is not impacted by high salinity. </w:t>
            </w:r>
          </w:p>
          <w:p w14:paraId="14A2B885" w14:textId="2F567A31" w:rsidR="005F6B00" w:rsidRDefault="005F6B00" w:rsidP="00CF05B4">
            <w:pPr>
              <w:pStyle w:val="BlockText"/>
              <w:rPr>
                <w:rFonts w:cs="Tahoma"/>
                <w:szCs w:val="22"/>
              </w:rPr>
            </w:pPr>
          </w:p>
          <w:p w14:paraId="09A9F402" w14:textId="197B085B" w:rsidR="005F6B00" w:rsidRDefault="005F6B00" w:rsidP="005F6B00">
            <w:pPr>
              <w:pStyle w:val="BulletPoints"/>
              <w:numPr>
                <w:ilvl w:val="0"/>
                <w:numId w:val="0"/>
              </w:numPr>
              <w:spacing w:after="0"/>
              <w:jc w:val="left"/>
              <w:rPr>
                <w:rFonts w:ascii="Calibri" w:hAnsi="Calibri" w:cs="Calibri"/>
                <w:sz w:val="22"/>
                <w:szCs w:val="22"/>
              </w:rPr>
            </w:pPr>
            <w:r w:rsidRPr="005413A8">
              <w:rPr>
                <w:rFonts w:ascii="Calibri" w:hAnsi="Calibri" w:cs="Calibri"/>
                <w:sz w:val="22"/>
                <w:szCs w:val="22"/>
              </w:rPr>
              <w:t xml:space="preserve">MORDI is a key NGO contributing to community development in Tonga. Supporting community-driven development, </w:t>
            </w:r>
            <w:r>
              <w:rPr>
                <w:rFonts w:ascii="Calibri" w:hAnsi="Calibri" w:cs="Calibri"/>
                <w:sz w:val="22"/>
                <w:szCs w:val="22"/>
              </w:rPr>
              <w:t>the cornerstone of</w:t>
            </w:r>
            <w:r w:rsidRPr="005413A8">
              <w:rPr>
                <w:rFonts w:ascii="Calibri" w:hAnsi="Calibri" w:cs="Calibri"/>
                <w:sz w:val="22"/>
                <w:szCs w:val="22"/>
              </w:rPr>
              <w:t xml:space="preserve"> MORDI’s approach </w:t>
            </w:r>
            <w:r>
              <w:rPr>
                <w:rFonts w:ascii="Calibri" w:hAnsi="Calibri" w:cs="Calibri"/>
                <w:sz w:val="22"/>
                <w:szCs w:val="22"/>
              </w:rPr>
              <w:t>is</w:t>
            </w:r>
            <w:r w:rsidRPr="005413A8">
              <w:rPr>
                <w:rFonts w:ascii="Calibri" w:hAnsi="Calibri" w:cs="Calibri"/>
                <w:sz w:val="22"/>
                <w:szCs w:val="22"/>
              </w:rPr>
              <w:t xml:space="preserve"> Community Development Plans</w:t>
            </w:r>
            <w:r>
              <w:rPr>
                <w:rFonts w:ascii="Calibri" w:hAnsi="Calibri" w:cs="Calibri"/>
                <w:sz w:val="22"/>
                <w:szCs w:val="22"/>
              </w:rPr>
              <w:t xml:space="preserve"> (CDPs)</w:t>
            </w:r>
            <w:r w:rsidRPr="005413A8">
              <w:rPr>
                <w:rFonts w:ascii="Calibri" w:hAnsi="Calibri" w:cs="Calibri"/>
                <w:sz w:val="22"/>
                <w:szCs w:val="22"/>
              </w:rPr>
              <w:t>. These plans identify priority areas for community development and the related opportunities and barriers</w:t>
            </w:r>
            <w:r>
              <w:rPr>
                <w:rFonts w:ascii="Calibri" w:hAnsi="Calibri" w:cs="Calibri"/>
                <w:sz w:val="22"/>
                <w:szCs w:val="22"/>
              </w:rPr>
              <w:t>. D</w:t>
            </w:r>
            <w:r w:rsidRPr="005413A8">
              <w:rPr>
                <w:rFonts w:ascii="Calibri" w:hAnsi="Calibri" w:cs="Calibri"/>
                <w:sz w:val="22"/>
                <w:szCs w:val="22"/>
              </w:rPr>
              <w:t xml:space="preserve">eveloped </w:t>
            </w:r>
            <w:r w:rsidR="00E221E6">
              <w:rPr>
                <w:rFonts w:ascii="Calibri" w:hAnsi="Calibri" w:cs="Calibri"/>
                <w:sz w:val="22"/>
                <w:szCs w:val="22"/>
              </w:rPr>
              <w:t>with</w:t>
            </w:r>
            <w:r w:rsidR="003F367C">
              <w:rPr>
                <w:rFonts w:ascii="Calibri" w:hAnsi="Calibri" w:cs="Calibri"/>
                <w:sz w:val="22"/>
                <w:szCs w:val="22"/>
              </w:rPr>
              <w:t xml:space="preserve"> each community </w:t>
            </w:r>
            <w:r w:rsidRPr="005413A8">
              <w:rPr>
                <w:rFonts w:ascii="Calibri" w:hAnsi="Calibri" w:cs="Calibri"/>
                <w:sz w:val="22"/>
                <w:szCs w:val="22"/>
              </w:rPr>
              <w:t>through participatory processes</w:t>
            </w:r>
            <w:r w:rsidR="003F367C">
              <w:rPr>
                <w:rFonts w:ascii="Calibri" w:hAnsi="Calibri" w:cs="Calibri"/>
                <w:sz w:val="22"/>
                <w:szCs w:val="22"/>
              </w:rPr>
              <w:t xml:space="preserve">, priorities are negotiated first </w:t>
            </w:r>
            <w:r w:rsidR="00C82E91">
              <w:rPr>
                <w:rFonts w:ascii="Calibri" w:hAnsi="Calibri" w:cs="Calibri"/>
                <w:sz w:val="22"/>
                <w:szCs w:val="22"/>
              </w:rPr>
              <w:t xml:space="preserve">within </w:t>
            </w:r>
            <w:r w:rsidR="003F367C">
              <w:rPr>
                <w:rFonts w:ascii="Calibri" w:hAnsi="Calibri" w:cs="Calibri"/>
                <w:sz w:val="22"/>
                <w:szCs w:val="22"/>
              </w:rPr>
              <w:t>each communit</w:t>
            </w:r>
            <w:r w:rsidR="0078309D">
              <w:rPr>
                <w:rFonts w:ascii="Calibri" w:hAnsi="Calibri" w:cs="Calibri"/>
                <w:sz w:val="22"/>
                <w:szCs w:val="22"/>
              </w:rPr>
              <w:t xml:space="preserve">y’s </w:t>
            </w:r>
            <w:r w:rsidR="003F367C">
              <w:rPr>
                <w:rFonts w:ascii="Calibri" w:hAnsi="Calibri" w:cs="Calibri"/>
                <w:sz w:val="22"/>
                <w:szCs w:val="22"/>
              </w:rPr>
              <w:t>demographic groups (</w:t>
            </w:r>
            <w:r w:rsidR="00D41056">
              <w:rPr>
                <w:rFonts w:ascii="Calibri" w:hAnsi="Calibri" w:cs="Calibri"/>
                <w:sz w:val="22"/>
                <w:szCs w:val="22"/>
              </w:rPr>
              <w:t>w</w:t>
            </w:r>
            <w:r w:rsidR="003F367C">
              <w:rPr>
                <w:rFonts w:ascii="Calibri" w:hAnsi="Calibri" w:cs="Calibri"/>
                <w:sz w:val="22"/>
                <w:szCs w:val="22"/>
              </w:rPr>
              <w:t xml:space="preserve">omen, </w:t>
            </w:r>
            <w:r w:rsidR="00D41056">
              <w:rPr>
                <w:rFonts w:ascii="Calibri" w:hAnsi="Calibri" w:cs="Calibri"/>
                <w:sz w:val="22"/>
                <w:szCs w:val="22"/>
              </w:rPr>
              <w:t>m</w:t>
            </w:r>
            <w:r w:rsidR="003F367C">
              <w:rPr>
                <w:rFonts w:ascii="Calibri" w:hAnsi="Calibri" w:cs="Calibri"/>
                <w:sz w:val="22"/>
                <w:szCs w:val="22"/>
              </w:rPr>
              <w:t xml:space="preserve">en, </w:t>
            </w:r>
            <w:r w:rsidR="00D41056">
              <w:rPr>
                <w:rFonts w:ascii="Calibri" w:hAnsi="Calibri" w:cs="Calibri"/>
                <w:sz w:val="22"/>
                <w:szCs w:val="22"/>
              </w:rPr>
              <w:t>y</w:t>
            </w:r>
            <w:r w:rsidR="003F367C">
              <w:rPr>
                <w:rFonts w:ascii="Calibri" w:hAnsi="Calibri" w:cs="Calibri"/>
                <w:sz w:val="22"/>
                <w:szCs w:val="22"/>
              </w:rPr>
              <w:t xml:space="preserve">outh) and then </w:t>
            </w:r>
            <w:r w:rsidR="00405ED5">
              <w:rPr>
                <w:rFonts w:ascii="Calibri" w:hAnsi="Calibri" w:cs="Calibri"/>
                <w:sz w:val="22"/>
                <w:szCs w:val="22"/>
              </w:rPr>
              <w:t xml:space="preserve">as a </w:t>
            </w:r>
            <w:r w:rsidR="003F367C">
              <w:rPr>
                <w:rFonts w:ascii="Calibri" w:hAnsi="Calibri" w:cs="Calibri"/>
                <w:sz w:val="22"/>
                <w:szCs w:val="22"/>
              </w:rPr>
              <w:t>whole community</w:t>
            </w:r>
            <w:r w:rsidR="0052251A">
              <w:rPr>
                <w:rFonts w:ascii="Calibri" w:hAnsi="Calibri" w:cs="Calibri"/>
                <w:sz w:val="22"/>
                <w:szCs w:val="22"/>
              </w:rPr>
              <w:t>. These processes ensure that t</w:t>
            </w:r>
            <w:r>
              <w:rPr>
                <w:rFonts w:ascii="Calibri" w:hAnsi="Calibri" w:cs="Calibri"/>
                <w:sz w:val="22"/>
                <w:szCs w:val="22"/>
              </w:rPr>
              <w:t xml:space="preserve">hese plans are representative of the community. </w:t>
            </w:r>
          </w:p>
          <w:p w14:paraId="37F934B2" w14:textId="77777777" w:rsidR="005F6B00" w:rsidRPr="00921C97" w:rsidRDefault="005F6B00" w:rsidP="00CF05B4">
            <w:pPr>
              <w:pStyle w:val="BlockText"/>
              <w:rPr>
                <w:rFonts w:cs="Tahoma"/>
                <w:szCs w:val="22"/>
              </w:rPr>
            </w:pPr>
          </w:p>
        </w:tc>
      </w:tr>
      <w:tr w:rsidR="006344A5" w14:paraId="37F934BF" w14:textId="77777777" w:rsidTr="00831C12">
        <w:tc>
          <w:tcPr>
            <w:tcW w:w="5103" w:type="dxa"/>
          </w:tcPr>
          <w:p w14:paraId="6CA78BA0" w14:textId="24C8AC14" w:rsidR="00203350" w:rsidRPr="00257CBC" w:rsidRDefault="00203350" w:rsidP="00203350">
            <w:pPr>
              <w:pStyle w:val="BulletPoints"/>
              <w:numPr>
                <w:ilvl w:val="0"/>
                <w:numId w:val="0"/>
              </w:numPr>
              <w:spacing w:after="0"/>
              <w:jc w:val="left"/>
              <w:rPr>
                <w:rFonts w:asciiTheme="minorHAnsi" w:hAnsiTheme="minorHAnsi" w:cstheme="minorHAnsi"/>
                <w:b/>
                <w:color w:val="864EA8" w:themeColor="accent1" w:themeShade="BF"/>
              </w:rPr>
            </w:pPr>
            <w:r>
              <w:rPr>
                <w:rFonts w:asciiTheme="minorHAnsi" w:hAnsiTheme="minorHAnsi" w:cstheme="minorHAnsi"/>
                <w:b/>
                <w:color w:val="864EA8" w:themeColor="accent1" w:themeShade="BF"/>
              </w:rPr>
              <w:lastRenderedPageBreak/>
              <w:t>The Research</w:t>
            </w:r>
          </w:p>
          <w:p w14:paraId="08E8F020" w14:textId="4DB8D0A5" w:rsidR="006E21D7" w:rsidRPr="00BD6282" w:rsidRDefault="006E21D7" w:rsidP="006E21D7">
            <w:pPr>
              <w:rPr>
                <w:rFonts w:ascii="Calibri" w:hAnsi="Calibri" w:cs="Calibri"/>
              </w:rPr>
            </w:pPr>
            <w:r w:rsidRPr="00BD6282">
              <w:rPr>
                <w:rFonts w:ascii="Calibri" w:hAnsi="Calibri" w:cs="Calibri"/>
              </w:rPr>
              <w:t>This research aimed to assess the impacts</w:t>
            </w:r>
            <w:r>
              <w:rPr>
                <w:rFonts w:ascii="Calibri" w:hAnsi="Calibri" w:cs="Calibri"/>
              </w:rPr>
              <w:t xml:space="preserve"> and effectiveness</w:t>
            </w:r>
            <w:r w:rsidRPr="00BD6282">
              <w:rPr>
                <w:rFonts w:ascii="Calibri" w:hAnsi="Calibri" w:cs="Calibri"/>
              </w:rPr>
              <w:t xml:space="preserve"> of MORDI’s 2020 ‘Eua water resilience project</w:t>
            </w:r>
            <w:r>
              <w:rPr>
                <w:rFonts w:ascii="Calibri" w:hAnsi="Calibri" w:cs="Calibri"/>
              </w:rPr>
              <w:t xml:space="preserve"> and associated work undertaken by </w:t>
            </w:r>
            <w:r w:rsidR="00F84D04">
              <w:rPr>
                <w:rFonts w:ascii="Calibri" w:hAnsi="Calibri" w:cs="Calibri"/>
              </w:rPr>
              <w:t>Live and Learns</w:t>
            </w:r>
            <w:r>
              <w:rPr>
                <w:rFonts w:ascii="Calibri" w:hAnsi="Calibri" w:cs="Calibri"/>
              </w:rPr>
              <w:t>, and MEIDECC,</w:t>
            </w:r>
            <w:r w:rsidRPr="00BD6282">
              <w:rPr>
                <w:rFonts w:ascii="Calibri" w:hAnsi="Calibri" w:cs="Calibri"/>
              </w:rPr>
              <w:t xml:space="preserve"> and to identify </w:t>
            </w:r>
            <w:r>
              <w:rPr>
                <w:rFonts w:ascii="Calibri" w:hAnsi="Calibri" w:cs="Calibri"/>
              </w:rPr>
              <w:t>strengths and limitations of the</w:t>
            </w:r>
            <w:r w:rsidRPr="00BD6282">
              <w:rPr>
                <w:rFonts w:ascii="Calibri" w:hAnsi="Calibri" w:cs="Calibri"/>
              </w:rPr>
              <w:t xml:space="preserve"> approaches</w:t>
            </w:r>
            <w:r>
              <w:rPr>
                <w:rFonts w:ascii="Calibri" w:hAnsi="Calibri" w:cs="Calibri"/>
              </w:rPr>
              <w:t xml:space="preserve"> taken by these agencies with reference to</w:t>
            </w:r>
            <w:r w:rsidRPr="00BD6282">
              <w:rPr>
                <w:rFonts w:ascii="Calibri" w:hAnsi="Calibri" w:cs="Calibri"/>
              </w:rPr>
              <w:t xml:space="preserve"> progress towards SDG6 on ‘Eua. </w:t>
            </w:r>
            <w:r>
              <w:rPr>
                <w:rFonts w:ascii="Calibri" w:hAnsi="Calibri" w:cs="Calibri"/>
              </w:rPr>
              <w:t>A</w:t>
            </w:r>
            <w:r w:rsidRPr="00BD6282">
              <w:rPr>
                <w:rFonts w:ascii="Calibri" w:hAnsi="Calibri" w:cs="Calibri"/>
              </w:rPr>
              <w:t xml:space="preserve">ctionable recommendations to </w:t>
            </w:r>
            <w:r>
              <w:rPr>
                <w:rFonts w:ascii="Calibri" w:hAnsi="Calibri" w:cs="Calibri"/>
              </w:rPr>
              <w:t xml:space="preserve">consolidate gains and </w:t>
            </w:r>
            <w:r w:rsidRPr="00BD6282">
              <w:rPr>
                <w:rFonts w:ascii="Calibri" w:hAnsi="Calibri" w:cs="Calibri"/>
              </w:rPr>
              <w:t xml:space="preserve">strengthen </w:t>
            </w:r>
            <w:r>
              <w:rPr>
                <w:rFonts w:ascii="Calibri" w:hAnsi="Calibri" w:cs="Calibri"/>
              </w:rPr>
              <w:t xml:space="preserve">future </w:t>
            </w:r>
            <w:r w:rsidRPr="00BD6282">
              <w:rPr>
                <w:rFonts w:ascii="Calibri" w:hAnsi="Calibri" w:cs="Calibri"/>
              </w:rPr>
              <w:t>approache</w:t>
            </w:r>
            <w:r>
              <w:rPr>
                <w:rFonts w:ascii="Calibri" w:hAnsi="Calibri" w:cs="Calibri"/>
              </w:rPr>
              <w:t>s were then developed</w:t>
            </w:r>
            <w:r w:rsidRPr="00BD6282">
              <w:rPr>
                <w:rFonts w:ascii="Calibri" w:hAnsi="Calibri" w:cs="Calibri"/>
              </w:rPr>
              <w:t xml:space="preserve">.   </w:t>
            </w:r>
          </w:p>
          <w:p w14:paraId="4C9091C3" w14:textId="2788C95A" w:rsidR="005F6B00" w:rsidRPr="00BD6282" w:rsidRDefault="005F6B00" w:rsidP="005F6B00">
            <w:pPr>
              <w:rPr>
                <w:rFonts w:ascii="Calibri" w:hAnsi="Calibri" w:cs="Calibri"/>
              </w:rPr>
            </w:pPr>
          </w:p>
          <w:p w14:paraId="6134BE07" w14:textId="76F526A4" w:rsidR="005F6B00" w:rsidRDefault="005F6B00" w:rsidP="005F6B00">
            <w:pPr>
              <w:rPr>
                <w:rFonts w:ascii="Calibri" w:hAnsi="Calibri" w:cs="Calibri"/>
              </w:rPr>
            </w:pPr>
            <w:r>
              <w:rPr>
                <w:rFonts w:ascii="Calibri" w:hAnsi="Calibri" w:cs="Calibri"/>
              </w:rPr>
              <w:t>P</w:t>
            </w:r>
            <w:r w:rsidRPr="00BD6282">
              <w:rPr>
                <w:rFonts w:ascii="Calibri" w:hAnsi="Calibri" w:cs="Calibri"/>
              </w:rPr>
              <w:t>rioritis</w:t>
            </w:r>
            <w:r>
              <w:rPr>
                <w:rFonts w:ascii="Calibri" w:hAnsi="Calibri" w:cs="Calibri"/>
              </w:rPr>
              <w:t>ing</w:t>
            </w:r>
            <w:r w:rsidRPr="00BD6282">
              <w:rPr>
                <w:rFonts w:ascii="Calibri" w:hAnsi="Calibri" w:cs="Calibri"/>
              </w:rPr>
              <w:t xml:space="preserve"> the views of community members, CDPs were used as a key source of information. </w:t>
            </w:r>
            <w:r>
              <w:rPr>
                <w:rFonts w:ascii="Calibri" w:hAnsi="Calibri" w:cs="Calibri"/>
              </w:rPr>
              <w:t>Progress towards water improvement on ‘Eua was measured by</w:t>
            </w:r>
            <w:r w:rsidRPr="00BD6282">
              <w:rPr>
                <w:rFonts w:ascii="Calibri" w:hAnsi="Calibri" w:cs="Calibri"/>
              </w:rPr>
              <w:t xml:space="preserve"> comparing </w:t>
            </w:r>
            <w:r>
              <w:rPr>
                <w:rFonts w:ascii="Calibri" w:hAnsi="Calibri" w:cs="Calibri"/>
              </w:rPr>
              <w:t xml:space="preserve">‘Eua’s 2019 </w:t>
            </w:r>
            <w:r w:rsidRPr="00BD6282">
              <w:rPr>
                <w:rFonts w:ascii="Calibri" w:hAnsi="Calibri" w:cs="Calibri"/>
              </w:rPr>
              <w:t>CDPs</w:t>
            </w:r>
            <w:r>
              <w:rPr>
                <w:rFonts w:ascii="Calibri" w:hAnsi="Calibri" w:cs="Calibri"/>
              </w:rPr>
              <w:t xml:space="preserve"> (developed prior to water project implementation) and ‘Eua’s 2025 CDPs (developed post water project implementation). These CDP findings were then supported and further contextualised through semi-structured interviews with community members, local implementers, and key public service personnel from health, government and utilities. </w:t>
            </w:r>
          </w:p>
          <w:p w14:paraId="37F934BE" w14:textId="77777777" w:rsidR="006344A5" w:rsidRPr="00921C97" w:rsidRDefault="006344A5" w:rsidP="005F6B00">
            <w:pPr>
              <w:pStyle w:val="BulletPoints"/>
              <w:numPr>
                <w:ilvl w:val="0"/>
                <w:numId w:val="0"/>
              </w:numPr>
              <w:spacing w:after="0"/>
              <w:jc w:val="left"/>
              <w:rPr>
                <w:rFonts w:ascii="Tahoma" w:hAnsi="Tahoma" w:cs="Tahoma"/>
                <w:sz w:val="22"/>
                <w:szCs w:val="22"/>
              </w:rPr>
            </w:pPr>
          </w:p>
        </w:tc>
      </w:tr>
      <w:tr w:rsidR="006344A5" w14:paraId="37F934C7" w14:textId="77777777" w:rsidTr="00831C12">
        <w:tc>
          <w:tcPr>
            <w:tcW w:w="5103" w:type="dxa"/>
          </w:tcPr>
          <w:p w14:paraId="417E5135" w14:textId="5F7F44BD" w:rsidR="00203350" w:rsidRPr="00257CBC" w:rsidRDefault="00203350" w:rsidP="00203350">
            <w:pPr>
              <w:pStyle w:val="BulletPoints"/>
              <w:numPr>
                <w:ilvl w:val="0"/>
                <w:numId w:val="0"/>
              </w:numPr>
              <w:spacing w:after="0"/>
              <w:jc w:val="left"/>
              <w:rPr>
                <w:rFonts w:asciiTheme="minorHAnsi" w:hAnsiTheme="minorHAnsi" w:cstheme="minorHAnsi"/>
                <w:b/>
                <w:color w:val="864EA8" w:themeColor="accent1" w:themeShade="BF"/>
              </w:rPr>
            </w:pPr>
            <w:r>
              <w:rPr>
                <w:rFonts w:asciiTheme="minorHAnsi" w:hAnsiTheme="minorHAnsi" w:cstheme="minorHAnsi"/>
                <w:b/>
                <w:color w:val="864EA8" w:themeColor="accent1" w:themeShade="BF"/>
              </w:rPr>
              <w:t>Findings</w:t>
            </w:r>
          </w:p>
          <w:p w14:paraId="3FB7D16E" w14:textId="39BA5F37" w:rsidR="005F6B00" w:rsidRPr="005F6B00" w:rsidRDefault="005F6B00" w:rsidP="005F6B00">
            <w:pPr>
              <w:pStyle w:val="BulletPoints"/>
              <w:numPr>
                <w:ilvl w:val="0"/>
                <w:numId w:val="0"/>
              </w:numPr>
              <w:rPr>
                <w:rFonts w:asciiTheme="minorHAnsi" w:hAnsiTheme="minorHAnsi" w:cstheme="minorHAnsi"/>
                <w:b/>
                <w:color w:val="864EA8" w:themeColor="accent1" w:themeShade="BF"/>
              </w:rPr>
            </w:pPr>
            <w:r>
              <w:rPr>
                <w:rFonts w:asciiTheme="minorHAnsi" w:hAnsiTheme="minorHAnsi" w:cstheme="minorHAnsi"/>
                <w:iCs/>
                <w:sz w:val="22"/>
                <w:szCs w:val="22"/>
              </w:rPr>
              <w:t xml:space="preserve">Changes to the position of water within the development priorities of ‘Eua’s communities from 2019 to 2025 </w:t>
            </w:r>
            <w:r w:rsidR="007479C6">
              <w:rPr>
                <w:rFonts w:asciiTheme="minorHAnsi" w:hAnsiTheme="minorHAnsi" w:cstheme="minorHAnsi"/>
                <w:iCs/>
                <w:sz w:val="22"/>
                <w:szCs w:val="22"/>
              </w:rPr>
              <w:t>are</w:t>
            </w:r>
            <w:r>
              <w:rPr>
                <w:rFonts w:asciiTheme="minorHAnsi" w:hAnsiTheme="minorHAnsi" w:cstheme="minorHAnsi"/>
                <w:iCs/>
                <w:sz w:val="22"/>
                <w:szCs w:val="22"/>
              </w:rPr>
              <w:t xml:space="preserve"> shown in Tables 1 and 2. Table 1 shows the change in the </w:t>
            </w:r>
            <w:r w:rsidR="008815A9">
              <w:rPr>
                <w:rFonts w:asciiTheme="minorHAnsi" w:hAnsiTheme="minorHAnsi" w:cstheme="minorHAnsi"/>
                <w:iCs/>
                <w:sz w:val="22"/>
                <w:szCs w:val="22"/>
              </w:rPr>
              <w:t>prioritisation</w:t>
            </w:r>
            <w:r>
              <w:rPr>
                <w:rFonts w:asciiTheme="minorHAnsi" w:hAnsiTheme="minorHAnsi" w:cstheme="minorHAnsi"/>
                <w:iCs/>
                <w:sz w:val="22"/>
                <w:szCs w:val="22"/>
              </w:rPr>
              <w:t xml:space="preserve"> of water in the CDPs as set by each demographic group in </w:t>
            </w:r>
            <w:r w:rsidR="000A78D6">
              <w:rPr>
                <w:rFonts w:asciiTheme="minorHAnsi" w:hAnsiTheme="minorHAnsi" w:cstheme="minorHAnsi"/>
                <w:iCs/>
                <w:sz w:val="22"/>
                <w:szCs w:val="22"/>
              </w:rPr>
              <w:t>‘Eua’s</w:t>
            </w:r>
            <w:r w:rsidR="00676739">
              <w:rPr>
                <w:rFonts w:asciiTheme="minorHAnsi" w:hAnsiTheme="minorHAnsi" w:cstheme="minorHAnsi"/>
                <w:iCs/>
                <w:sz w:val="22"/>
                <w:szCs w:val="22"/>
              </w:rPr>
              <w:t xml:space="preserve"> 15</w:t>
            </w:r>
            <w:r>
              <w:rPr>
                <w:rFonts w:asciiTheme="minorHAnsi" w:hAnsiTheme="minorHAnsi" w:cstheme="minorHAnsi"/>
                <w:iCs/>
                <w:sz w:val="22"/>
                <w:szCs w:val="22"/>
              </w:rPr>
              <w:t xml:space="preserve"> </w:t>
            </w:r>
            <w:r>
              <w:rPr>
                <w:rFonts w:asciiTheme="minorHAnsi" w:hAnsiTheme="minorHAnsi" w:cstheme="minorHAnsi"/>
                <w:iCs/>
                <w:sz w:val="22"/>
                <w:szCs w:val="22"/>
              </w:rPr>
              <w:t>communit</w:t>
            </w:r>
            <w:r w:rsidR="00676739">
              <w:rPr>
                <w:rFonts w:asciiTheme="minorHAnsi" w:hAnsiTheme="minorHAnsi" w:cstheme="minorHAnsi"/>
                <w:iCs/>
                <w:sz w:val="22"/>
                <w:szCs w:val="22"/>
              </w:rPr>
              <w:t>ies</w:t>
            </w:r>
            <w:r>
              <w:rPr>
                <w:rFonts w:asciiTheme="minorHAnsi" w:hAnsiTheme="minorHAnsi" w:cstheme="minorHAnsi"/>
                <w:iCs/>
                <w:sz w:val="22"/>
                <w:szCs w:val="22"/>
              </w:rPr>
              <w:t xml:space="preserve">, while Table 2 shows the change in the </w:t>
            </w:r>
            <w:r w:rsidR="008815A9">
              <w:rPr>
                <w:rFonts w:asciiTheme="minorHAnsi" w:hAnsiTheme="minorHAnsi" w:cstheme="minorHAnsi"/>
                <w:iCs/>
                <w:sz w:val="22"/>
                <w:szCs w:val="22"/>
              </w:rPr>
              <w:t>prioritisation</w:t>
            </w:r>
            <w:r>
              <w:rPr>
                <w:rFonts w:asciiTheme="minorHAnsi" w:hAnsiTheme="minorHAnsi" w:cstheme="minorHAnsi"/>
                <w:iCs/>
                <w:sz w:val="22"/>
                <w:szCs w:val="22"/>
              </w:rPr>
              <w:t xml:space="preserve"> of water in the final CDP for each community. </w:t>
            </w:r>
          </w:p>
          <w:p w14:paraId="37F934C4" w14:textId="12FE4B9A" w:rsidR="006344A5" w:rsidRDefault="005F6B00" w:rsidP="005F6B00">
            <w:pPr>
              <w:pStyle w:val="BulletPoints"/>
              <w:numPr>
                <w:ilvl w:val="0"/>
                <w:numId w:val="0"/>
              </w:numPr>
              <w:spacing w:after="0"/>
              <w:jc w:val="left"/>
              <w:rPr>
                <w:rFonts w:asciiTheme="minorHAnsi" w:hAnsiTheme="minorHAnsi" w:cstheme="minorHAnsi"/>
                <w:iCs/>
                <w:sz w:val="22"/>
                <w:szCs w:val="22"/>
              </w:rPr>
            </w:pPr>
            <w:r>
              <w:rPr>
                <w:rFonts w:asciiTheme="minorHAnsi" w:hAnsiTheme="minorHAnsi" w:cstheme="minorHAnsi"/>
                <w:iCs/>
                <w:sz w:val="22"/>
                <w:szCs w:val="22"/>
              </w:rPr>
              <w:t xml:space="preserve">Table 1. The changes in the </w:t>
            </w:r>
            <w:r w:rsidR="000C2E53">
              <w:rPr>
                <w:rFonts w:asciiTheme="minorHAnsi" w:hAnsiTheme="minorHAnsi" w:cstheme="minorHAnsi"/>
                <w:iCs/>
                <w:sz w:val="22"/>
                <w:szCs w:val="22"/>
              </w:rPr>
              <w:t>prioritisation</w:t>
            </w:r>
            <w:r>
              <w:rPr>
                <w:rFonts w:asciiTheme="minorHAnsi" w:hAnsiTheme="minorHAnsi" w:cstheme="minorHAnsi"/>
                <w:iCs/>
                <w:sz w:val="22"/>
                <w:szCs w:val="22"/>
              </w:rPr>
              <w:t xml:space="preserve"> of water within community priorities as set by each demographic group in each community in ‘Eua.</w:t>
            </w:r>
          </w:p>
          <w:p w14:paraId="6739EAA5" w14:textId="0A15AEE9" w:rsidR="00B21394" w:rsidRPr="005F6B00" w:rsidRDefault="00B21394" w:rsidP="005F6B00">
            <w:pPr>
              <w:pStyle w:val="BulletPoints"/>
              <w:numPr>
                <w:ilvl w:val="0"/>
                <w:numId w:val="0"/>
              </w:numPr>
              <w:spacing w:after="0"/>
              <w:jc w:val="left"/>
              <w:rPr>
                <w:rFonts w:asciiTheme="minorHAnsi" w:hAnsiTheme="minorHAnsi" w:cstheme="minorHAnsi"/>
                <w:iCs/>
                <w:sz w:val="22"/>
                <w:szCs w:val="22"/>
              </w:rPr>
            </w:pPr>
          </w:p>
          <w:p w14:paraId="37F934C6" w14:textId="6AF6688C" w:rsidR="006344A5" w:rsidRPr="00921C97" w:rsidRDefault="005563F9" w:rsidP="00117A0D">
            <w:pPr>
              <w:pStyle w:val="BulletPoints"/>
              <w:numPr>
                <w:ilvl w:val="0"/>
                <w:numId w:val="0"/>
              </w:numPr>
              <w:spacing w:after="0"/>
              <w:jc w:val="left"/>
              <w:rPr>
                <w:rFonts w:ascii="Tahoma" w:hAnsi="Tahoma" w:cs="Tahoma"/>
                <w:sz w:val="22"/>
                <w:szCs w:val="22"/>
              </w:rPr>
            </w:pPr>
            <w:r>
              <w:rPr>
                <w:rFonts w:ascii="Tahoma" w:hAnsi="Tahoma" w:cs="Tahoma"/>
                <w:noProof/>
                <w:sz w:val="22"/>
                <w:szCs w:val="22"/>
              </w:rPr>
              <w:drawing>
                <wp:inline distT="0" distB="0" distL="0" distR="0" wp14:anchorId="46CEF1D7" wp14:editId="1678D9B6">
                  <wp:extent cx="3110292" cy="1991634"/>
                  <wp:effectExtent l="0" t="0" r="1270" b="2540"/>
                  <wp:docPr id="692009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09412" name="Picture 6920094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10292" cy="1991634"/>
                          </a:xfrm>
                          <a:prstGeom prst="rect">
                            <a:avLst/>
                          </a:prstGeom>
                        </pic:spPr>
                      </pic:pic>
                    </a:graphicData>
                  </a:graphic>
                </wp:inline>
              </w:drawing>
            </w:r>
          </w:p>
        </w:tc>
      </w:tr>
      <w:tr w:rsidR="006344A5" w14:paraId="37F934D1" w14:textId="77777777" w:rsidTr="00831C12">
        <w:tc>
          <w:tcPr>
            <w:tcW w:w="5103" w:type="dxa"/>
          </w:tcPr>
          <w:p w14:paraId="1AA645F7" w14:textId="6B6758C6" w:rsidR="007D1A82" w:rsidRDefault="007D1A82" w:rsidP="00117A0D">
            <w:pPr>
              <w:pStyle w:val="BulletPoints"/>
              <w:numPr>
                <w:ilvl w:val="0"/>
                <w:numId w:val="0"/>
              </w:numPr>
              <w:spacing w:after="0"/>
              <w:jc w:val="left"/>
              <w:rPr>
                <w:rFonts w:asciiTheme="minorHAnsi" w:hAnsiTheme="minorHAnsi" w:cstheme="minorHAnsi"/>
                <w:iCs/>
                <w:sz w:val="22"/>
                <w:szCs w:val="22"/>
              </w:rPr>
            </w:pPr>
          </w:p>
          <w:p w14:paraId="37F934D0" w14:textId="3E9DDCE5" w:rsidR="005563F9" w:rsidRPr="007D1A82" w:rsidRDefault="006365A5" w:rsidP="00117A0D">
            <w:pPr>
              <w:pStyle w:val="BulletPoints"/>
              <w:numPr>
                <w:ilvl w:val="0"/>
                <w:numId w:val="0"/>
              </w:numPr>
              <w:spacing w:after="0"/>
              <w:jc w:val="left"/>
              <w:rPr>
                <w:rFonts w:asciiTheme="minorHAnsi" w:hAnsiTheme="minorHAnsi" w:cstheme="minorHAnsi"/>
                <w:iCs/>
                <w:sz w:val="22"/>
                <w:szCs w:val="22"/>
              </w:rPr>
            </w:pPr>
            <w:r>
              <w:rPr>
                <w:rFonts w:asciiTheme="minorHAnsi" w:hAnsiTheme="minorHAnsi" w:cstheme="minorHAnsi"/>
                <w:iCs/>
                <w:noProof/>
                <w:sz w:val="22"/>
                <w:szCs w:val="22"/>
              </w:rPr>
              <w:drawing>
                <wp:anchor distT="0" distB="0" distL="114300" distR="114300" simplePos="0" relativeHeight="251660288" behindDoc="1" locked="0" layoutInCell="1" allowOverlap="1" wp14:anchorId="1672D58C" wp14:editId="49B3EC30">
                  <wp:simplePos x="0" y="0"/>
                  <wp:positionH relativeFrom="column">
                    <wp:posOffset>-59383</wp:posOffset>
                  </wp:positionH>
                  <wp:positionV relativeFrom="paragraph">
                    <wp:posOffset>479425</wp:posOffset>
                  </wp:positionV>
                  <wp:extent cx="3169285" cy="774065"/>
                  <wp:effectExtent l="0" t="0" r="5715" b="635"/>
                  <wp:wrapTight wrapText="bothSides">
                    <wp:wrapPolygon edited="0">
                      <wp:start x="0" y="0"/>
                      <wp:lineTo x="0" y="21263"/>
                      <wp:lineTo x="21552" y="21263"/>
                      <wp:lineTo x="21552" y="0"/>
                      <wp:lineTo x="0" y="0"/>
                    </wp:wrapPolygon>
                  </wp:wrapTight>
                  <wp:docPr id="761213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13529" name="Picture 76121352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69285" cy="774065"/>
                          </a:xfrm>
                          <a:prstGeom prst="rect">
                            <a:avLst/>
                          </a:prstGeom>
                        </pic:spPr>
                      </pic:pic>
                    </a:graphicData>
                  </a:graphic>
                  <wp14:sizeRelH relativeFrom="page">
                    <wp14:pctWidth>0</wp14:pctWidth>
                  </wp14:sizeRelH>
                  <wp14:sizeRelV relativeFrom="page">
                    <wp14:pctHeight>0</wp14:pctHeight>
                  </wp14:sizeRelV>
                </wp:anchor>
              </w:drawing>
            </w:r>
            <w:r w:rsidR="007D1A82">
              <w:rPr>
                <w:rFonts w:asciiTheme="minorHAnsi" w:hAnsiTheme="minorHAnsi" w:cstheme="minorHAnsi"/>
                <w:iCs/>
                <w:sz w:val="22"/>
                <w:szCs w:val="22"/>
              </w:rPr>
              <w:t xml:space="preserve">Table 2. The changes in the </w:t>
            </w:r>
            <w:r w:rsidR="009C5D8F">
              <w:rPr>
                <w:rFonts w:asciiTheme="minorHAnsi" w:hAnsiTheme="minorHAnsi" w:cstheme="minorHAnsi"/>
                <w:iCs/>
                <w:sz w:val="22"/>
                <w:szCs w:val="22"/>
              </w:rPr>
              <w:t>prioritisation</w:t>
            </w:r>
            <w:r w:rsidR="007D1A82">
              <w:rPr>
                <w:rFonts w:asciiTheme="minorHAnsi" w:hAnsiTheme="minorHAnsi" w:cstheme="minorHAnsi"/>
                <w:iCs/>
                <w:sz w:val="22"/>
                <w:szCs w:val="22"/>
              </w:rPr>
              <w:t xml:space="preserve"> of water in the final CDP for each community. </w:t>
            </w:r>
          </w:p>
        </w:tc>
      </w:tr>
    </w:tbl>
    <w:p w14:paraId="7084808F" w14:textId="77777777" w:rsidR="006365A5" w:rsidRDefault="006365A5" w:rsidP="007D1A82">
      <w:pPr>
        <w:pStyle w:val="BulletPoints"/>
        <w:numPr>
          <w:ilvl w:val="0"/>
          <w:numId w:val="0"/>
        </w:numPr>
        <w:spacing w:after="0"/>
        <w:jc w:val="left"/>
        <w:rPr>
          <w:rFonts w:asciiTheme="minorHAnsi" w:hAnsiTheme="minorHAnsi" w:cstheme="minorHAnsi"/>
          <w:iCs/>
          <w:sz w:val="22"/>
          <w:szCs w:val="22"/>
        </w:rPr>
      </w:pPr>
    </w:p>
    <w:p w14:paraId="0CF26B3B" w14:textId="77777777" w:rsidR="00B20612" w:rsidRDefault="00B20612" w:rsidP="00B20612">
      <w:pPr>
        <w:pStyle w:val="BulletPoints"/>
        <w:numPr>
          <w:ilvl w:val="0"/>
          <w:numId w:val="0"/>
        </w:numPr>
        <w:spacing w:after="0"/>
        <w:jc w:val="left"/>
        <w:rPr>
          <w:rFonts w:asciiTheme="minorHAnsi" w:hAnsiTheme="minorHAnsi" w:cstheme="minorHAnsi"/>
          <w:iCs/>
          <w:sz w:val="22"/>
          <w:szCs w:val="22"/>
        </w:rPr>
      </w:pPr>
      <w:r>
        <w:rPr>
          <w:rFonts w:asciiTheme="minorHAnsi" w:hAnsiTheme="minorHAnsi" w:cstheme="minorHAnsi"/>
          <w:iCs/>
          <w:sz w:val="22"/>
          <w:szCs w:val="22"/>
        </w:rPr>
        <w:t xml:space="preserve">These results demonstrate clear progress towards addressing water issues in ‘Eua’s communities. However, water’s continued presence within priorities highlights that further work is required to achieve water security in line with SDG6. CDP comments along with interview responses identified the following key gaps and opportunities. </w:t>
      </w:r>
    </w:p>
    <w:p w14:paraId="26FA6994" w14:textId="77777777" w:rsidR="007D1A82" w:rsidRPr="007D1A82" w:rsidRDefault="007D1A82" w:rsidP="007D1A82">
      <w:pPr>
        <w:pStyle w:val="BulletPoints"/>
        <w:numPr>
          <w:ilvl w:val="0"/>
          <w:numId w:val="0"/>
        </w:numPr>
        <w:spacing w:after="0"/>
        <w:jc w:val="left"/>
        <w:rPr>
          <w:rFonts w:asciiTheme="minorHAnsi" w:hAnsiTheme="minorHAnsi" w:cstheme="minorHAnsi"/>
          <w:iCs/>
          <w:sz w:val="22"/>
          <w:szCs w:val="22"/>
        </w:rPr>
      </w:pPr>
    </w:p>
    <w:p w14:paraId="5B4B16E0" w14:textId="570C8D00" w:rsidR="007D1A82" w:rsidRPr="00257CBC" w:rsidRDefault="007D1A82" w:rsidP="00F27D15">
      <w:pPr>
        <w:pStyle w:val="BulletPoints"/>
        <w:numPr>
          <w:ilvl w:val="0"/>
          <w:numId w:val="0"/>
        </w:numPr>
        <w:spacing w:after="0"/>
        <w:jc w:val="left"/>
        <w:rPr>
          <w:rFonts w:asciiTheme="minorHAnsi" w:hAnsiTheme="minorHAnsi" w:cstheme="minorHAnsi"/>
          <w:b/>
          <w:color w:val="864EA8" w:themeColor="accent1" w:themeShade="BF"/>
        </w:rPr>
      </w:pPr>
      <w:r>
        <w:rPr>
          <w:rFonts w:asciiTheme="minorHAnsi" w:hAnsiTheme="minorHAnsi" w:cstheme="minorHAnsi"/>
          <w:b/>
          <w:color w:val="864EA8" w:themeColor="accent1" w:themeShade="BF"/>
        </w:rPr>
        <w:t xml:space="preserve">Gaps and Opportunities </w:t>
      </w:r>
    </w:p>
    <w:p w14:paraId="68CF1494" w14:textId="66FC7DCB" w:rsidR="007D1A82" w:rsidRPr="00F27D15" w:rsidRDefault="007D1A82" w:rsidP="007D1A82">
      <w:pPr>
        <w:rPr>
          <w:rFonts w:asciiTheme="minorHAnsi" w:hAnsiTheme="minorHAnsi" w:cstheme="minorHAnsi"/>
          <w:b/>
          <w:color w:val="864EA8" w:themeColor="accent1" w:themeShade="BF"/>
        </w:rPr>
      </w:pPr>
      <w:r>
        <w:rPr>
          <w:rFonts w:asciiTheme="minorHAnsi" w:hAnsiTheme="minorHAnsi" w:cstheme="minorHAnsi"/>
          <w:b/>
          <w:color w:val="864EA8" w:themeColor="accent1" w:themeShade="BF"/>
        </w:rPr>
        <w:t xml:space="preserve">Water Safety </w:t>
      </w:r>
    </w:p>
    <w:p w14:paraId="6B5558F1" w14:textId="77777777" w:rsidR="007D1A82" w:rsidRDefault="007D1A82" w:rsidP="007D1A82">
      <w:pPr>
        <w:rPr>
          <w:rFonts w:ascii="Calibri" w:hAnsi="Calibri" w:cs="Calibri"/>
        </w:rPr>
      </w:pPr>
      <w:r w:rsidRPr="00E6253F">
        <w:rPr>
          <w:rFonts w:ascii="Calibri" w:hAnsi="Calibri" w:cs="Calibri"/>
        </w:rPr>
        <w:t xml:space="preserve">Aligned with SDG6, the goal of MORDI’s project, and indeed all water projects across Tonga is to support the provision of safe water. To date, physical resource delivery at the household level (tanks, gutters, tank stands) </w:t>
      </w:r>
      <w:r>
        <w:rPr>
          <w:rFonts w:ascii="Calibri" w:hAnsi="Calibri" w:cs="Calibri"/>
        </w:rPr>
        <w:t>has</w:t>
      </w:r>
      <w:r w:rsidRPr="00E6253F">
        <w:rPr>
          <w:rFonts w:ascii="Calibri" w:hAnsi="Calibri" w:cs="Calibri"/>
        </w:rPr>
        <w:t xml:space="preserve"> been the focus of water security projects. Less focus has been given to ensuring the safety of these water supplies.</w:t>
      </w:r>
    </w:p>
    <w:p w14:paraId="4441F3F6" w14:textId="77777777" w:rsidR="007D1A82" w:rsidRDefault="007D1A82" w:rsidP="007D1A82">
      <w:pPr>
        <w:rPr>
          <w:rFonts w:ascii="Calibri" w:hAnsi="Calibri" w:cs="Calibri"/>
        </w:rPr>
      </w:pPr>
    </w:p>
    <w:p w14:paraId="3138F91D" w14:textId="5EBB38E0" w:rsidR="007D1A82" w:rsidRPr="000B4AED" w:rsidRDefault="001D1DC5" w:rsidP="007D1A82">
      <w:pPr>
        <w:rPr>
          <w:rFonts w:ascii="Calibri" w:hAnsi="Calibri" w:cs="Calibri"/>
        </w:rPr>
      </w:pPr>
      <w:r>
        <w:rPr>
          <w:rFonts w:ascii="Calibri" w:hAnsi="Calibri" w:cs="Calibri"/>
        </w:rPr>
        <w:t xml:space="preserve">Lack of attention to water safety is </w:t>
      </w:r>
      <w:r w:rsidR="00186FB0">
        <w:rPr>
          <w:rFonts w:ascii="Calibri" w:hAnsi="Calibri" w:cs="Calibri"/>
        </w:rPr>
        <w:t>highlighted</w:t>
      </w:r>
      <w:r>
        <w:rPr>
          <w:rFonts w:ascii="Calibri" w:hAnsi="Calibri" w:cs="Calibri"/>
        </w:rPr>
        <w:t xml:space="preserve"> by an</w:t>
      </w:r>
      <w:r w:rsidR="007D1A82" w:rsidRPr="00E6253F">
        <w:rPr>
          <w:rFonts w:ascii="Calibri" w:hAnsi="Calibri" w:cs="Calibri"/>
        </w:rPr>
        <w:t xml:space="preserve"> Asian Development Bank</w:t>
      </w:r>
      <w:r w:rsidR="003955BA">
        <w:rPr>
          <w:rFonts w:ascii="Calibri" w:hAnsi="Calibri" w:cs="Calibri"/>
        </w:rPr>
        <w:t xml:space="preserve"> (ADB)</w:t>
      </w:r>
      <w:r>
        <w:rPr>
          <w:rFonts w:ascii="Calibri" w:hAnsi="Calibri" w:cs="Calibri"/>
        </w:rPr>
        <w:t xml:space="preserve"> study. Their </w:t>
      </w:r>
      <w:r w:rsidR="007D1A82" w:rsidRPr="00E6253F">
        <w:rPr>
          <w:rFonts w:ascii="Calibri" w:hAnsi="Calibri" w:cs="Calibri"/>
        </w:rPr>
        <w:t xml:space="preserve">Village Water Committee </w:t>
      </w:r>
      <w:r w:rsidR="00B22E84">
        <w:rPr>
          <w:rFonts w:ascii="Calibri" w:hAnsi="Calibri" w:cs="Calibri"/>
        </w:rPr>
        <w:t>P</w:t>
      </w:r>
      <w:r w:rsidR="007D1A82" w:rsidRPr="00E6253F">
        <w:rPr>
          <w:rFonts w:ascii="Calibri" w:hAnsi="Calibri" w:cs="Calibri"/>
        </w:rPr>
        <w:t xml:space="preserve">ilot </w:t>
      </w:r>
      <w:r w:rsidR="00B22E84">
        <w:rPr>
          <w:rFonts w:ascii="Calibri" w:hAnsi="Calibri" w:cs="Calibri"/>
        </w:rPr>
        <w:t>R</w:t>
      </w:r>
      <w:r w:rsidR="007D1A82" w:rsidRPr="00E6253F">
        <w:rPr>
          <w:rFonts w:ascii="Calibri" w:hAnsi="Calibri" w:cs="Calibri"/>
        </w:rPr>
        <w:t>eport identified bacterial contamination</w:t>
      </w:r>
      <w:r>
        <w:rPr>
          <w:rFonts w:ascii="Calibri" w:hAnsi="Calibri" w:cs="Calibri"/>
        </w:rPr>
        <w:t xml:space="preserve">, using </w:t>
      </w:r>
      <w:r w:rsidRPr="00B20612">
        <w:rPr>
          <w:rFonts w:ascii="Calibri" w:hAnsi="Calibri" w:cs="Calibri"/>
          <w:i/>
          <w:iCs/>
        </w:rPr>
        <w:t>E.coli</w:t>
      </w:r>
      <w:r>
        <w:rPr>
          <w:rFonts w:ascii="Calibri" w:hAnsi="Calibri" w:cs="Calibri"/>
        </w:rPr>
        <w:t xml:space="preserve"> as an indicator,</w:t>
      </w:r>
      <w:r w:rsidR="007D1A82" w:rsidRPr="00E6253F">
        <w:rPr>
          <w:rFonts w:ascii="Calibri" w:hAnsi="Calibri" w:cs="Calibri"/>
        </w:rPr>
        <w:t xml:space="preserve"> in rainwater tanks to be alarmingly high</w:t>
      </w:r>
      <w:r>
        <w:rPr>
          <w:rFonts w:ascii="Calibri" w:hAnsi="Calibri" w:cs="Calibri"/>
        </w:rPr>
        <w:t xml:space="preserve"> in </w:t>
      </w:r>
      <w:r w:rsidR="006A4AF3">
        <w:rPr>
          <w:rFonts w:ascii="Calibri" w:hAnsi="Calibri" w:cs="Calibri"/>
        </w:rPr>
        <w:t>2023</w:t>
      </w:r>
      <w:r w:rsidR="007D1A82" w:rsidRPr="00E6253F">
        <w:rPr>
          <w:rFonts w:ascii="Calibri" w:hAnsi="Calibri" w:cs="Calibri"/>
        </w:rPr>
        <w:t xml:space="preserve">. While this </w:t>
      </w:r>
      <w:r w:rsidR="007D1A82">
        <w:rPr>
          <w:rFonts w:ascii="Calibri" w:hAnsi="Calibri" w:cs="Calibri"/>
        </w:rPr>
        <w:t>report only measured</w:t>
      </w:r>
      <w:r w:rsidR="007D1A82" w:rsidRPr="00E6253F">
        <w:rPr>
          <w:rFonts w:ascii="Calibri" w:hAnsi="Calibri" w:cs="Calibri"/>
        </w:rPr>
        <w:t xml:space="preserve"> tanks on </w:t>
      </w:r>
      <w:proofErr w:type="spellStart"/>
      <w:r w:rsidR="009B226E">
        <w:rPr>
          <w:rFonts w:ascii="Calibri" w:hAnsi="Calibri" w:cs="Calibri"/>
        </w:rPr>
        <w:t>Tongatapu</w:t>
      </w:r>
      <w:proofErr w:type="spellEnd"/>
      <w:r w:rsidR="007D1A82" w:rsidRPr="00E6253F">
        <w:rPr>
          <w:rFonts w:ascii="Calibri" w:hAnsi="Calibri" w:cs="Calibri"/>
        </w:rPr>
        <w:t xml:space="preserve">, </w:t>
      </w:r>
      <w:r w:rsidR="007D1A82" w:rsidRPr="00E6253F">
        <w:rPr>
          <w:rFonts w:ascii="Calibri" w:hAnsi="Calibri" w:cs="Calibri"/>
        </w:rPr>
        <w:lastRenderedPageBreak/>
        <w:t xml:space="preserve">Tonga Public Health (TPH) assert that these findings can be extrapolated across Tonga. ADB and TPH attribute these high levels of contamination </w:t>
      </w:r>
      <w:r w:rsidR="007D1A82">
        <w:rPr>
          <w:rFonts w:ascii="Calibri" w:hAnsi="Calibri" w:cs="Calibri"/>
        </w:rPr>
        <w:t>to</w:t>
      </w:r>
      <w:r w:rsidR="007D1A82" w:rsidRPr="00E6253F">
        <w:rPr>
          <w:rFonts w:ascii="Calibri" w:hAnsi="Calibri" w:cs="Calibri"/>
        </w:rPr>
        <w:t xml:space="preserve"> declines in water safety practices, such as cleaning of water systems</w:t>
      </w:r>
      <w:r w:rsidR="00FE5143">
        <w:rPr>
          <w:rFonts w:ascii="Calibri" w:hAnsi="Calibri" w:cs="Calibri"/>
        </w:rPr>
        <w:t xml:space="preserve"> (tanks and gutters), </w:t>
      </w:r>
      <w:r w:rsidR="007D1A82" w:rsidRPr="00E6253F">
        <w:rPr>
          <w:rFonts w:ascii="Calibri" w:hAnsi="Calibri" w:cs="Calibri"/>
        </w:rPr>
        <w:t xml:space="preserve">TPH </w:t>
      </w:r>
      <w:r w:rsidR="0062132C">
        <w:rPr>
          <w:rFonts w:ascii="Calibri" w:hAnsi="Calibri" w:cs="Calibri"/>
        </w:rPr>
        <w:t>suggesting</w:t>
      </w:r>
      <w:r w:rsidR="007D1A82" w:rsidRPr="00E6253F">
        <w:rPr>
          <w:rFonts w:ascii="Calibri" w:hAnsi="Calibri" w:cs="Calibri"/>
        </w:rPr>
        <w:t xml:space="preserve"> that the reduction in waterborne disease outbreaks </w:t>
      </w:r>
      <w:r w:rsidR="007D1A82" w:rsidRPr="000B4AED">
        <w:rPr>
          <w:rFonts w:ascii="Calibri" w:hAnsi="Calibri" w:cs="Calibri"/>
        </w:rPr>
        <w:t xml:space="preserve">across Tonga (the last occurring in 2015) has led to complacency. </w:t>
      </w:r>
    </w:p>
    <w:p w14:paraId="71B991B8" w14:textId="77777777" w:rsidR="007D1A82" w:rsidRPr="000B4AED" w:rsidRDefault="007D1A82" w:rsidP="007D1A82">
      <w:pPr>
        <w:rPr>
          <w:rFonts w:ascii="Calibri" w:hAnsi="Calibri" w:cs="Calibri"/>
        </w:rPr>
      </w:pPr>
    </w:p>
    <w:p w14:paraId="771824EB" w14:textId="24D02B99" w:rsidR="007D1A82" w:rsidRPr="00F95142" w:rsidRDefault="007D1A82" w:rsidP="007D1A82">
      <w:pPr>
        <w:rPr>
          <w:rFonts w:ascii="Calibri" w:hAnsi="Calibri" w:cs="Calibri"/>
        </w:rPr>
      </w:pPr>
      <w:r w:rsidRPr="000B4AED">
        <w:rPr>
          <w:rFonts w:ascii="Calibri" w:hAnsi="Calibri" w:cs="Calibri"/>
        </w:rPr>
        <w:t xml:space="preserve">While MORDI and </w:t>
      </w:r>
      <w:r w:rsidR="004A1583">
        <w:rPr>
          <w:rFonts w:ascii="Calibri" w:hAnsi="Calibri" w:cs="Calibri"/>
        </w:rPr>
        <w:t xml:space="preserve">Live and Learn </w:t>
      </w:r>
      <w:r w:rsidRPr="000B4AED">
        <w:rPr>
          <w:rFonts w:ascii="Calibri" w:hAnsi="Calibri" w:cs="Calibri"/>
        </w:rPr>
        <w:t>have delivered maintenance training as part of implementation</w:t>
      </w:r>
      <w:r>
        <w:rPr>
          <w:rFonts w:ascii="Calibri" w:hAnsi="Calibri" w:cs="Calibri"/>
        </w:rPr>
        <w:t xml:space="preserve">, </w:t>
      </w:r>
      <w:r w:rsidR="00BD5722">
        <w:rPr>
          <w:rFonts w:ascii="Calibri" w:hAnsi="Calibri" w:cs="Calibri"/>
        </w:rPr>
        <w:t>limited</w:t>
      </w:r>
      <w:r>
        <w:rPr>
          <w:rFonts w:ascii="Calibri" w:hAnsi="Calibri" w:cs="Calibri"/>
        </w:rPr>
        <w:t xml:space="preserve"> on-going training and support has </w:t>
      </w:r>
      <w:r w:rsidR="00BD5722">
        <w:rPr>
          <w:rFonts w:ascii="Calibri" w:hAnsi="Calibri" w:cs="Calibri"/>
        </w:rPr>
        <w:t>reduced</w:t>
      </w:r>
      <w:r>
        <w:rPr>
          <w:rFonts w:ascii="Calibri" w:hAnsi="Calibri" w:cs="Calibri"/>
        </w:rPr>
        <w:t xml:space="preserve"> long-term effectiveness. </w:t>
      </w:r>
      <w:r w:rsidR="004A1583">
        <w:rPr>
          <w:rFonts w:ascii="Calibri" w:hAnsi="Calibri" w:cs="Calibri"/>
        </w:rPr>
        <w:t>Tonga Public Health</w:t>
      </w:r>
      <w:r>
        <w:rPr>
          <w:rFonts w:ascii="Calibri" w:hAnsi="Calibri" w:cs="Calibri"/>
        </w:rPr>
        <w:t xml:space="preserve"> identified health literacy as a key limitation, suggesting that while many community members are aware of recommendations</w:t>
      </w:r>
      <w:r w:rsidR="0071202F">
        <w:rPr>
          <w:rFonts w:ascii="Calibri" w:hAnsi="Calibri" w:cs="Calibri"/>
        </w:rPr>
        <w:t xml:space="preserve"> </w:t>
      </w:r>
      <w:r w:rsidR="00104494">
        <w:rPr>
          <w:rFonts w:ascii="Calibri" w:hAnsi="Calibri" w:cs="Calibri"/>
        </w:rPr>
        <w:t>for</w:t>
      </w:r>
      <w:r w:rsidR="0071202F">
        <w:rPr>
          <w:rFonts w:ascii="Calibri" w:hAnsi="Calibri" w:cs="Calibri"/>
        </w:rPr>
        <w:t xml:space="preserve"> water system maintenance</w:t>
      </w:r>
      <w:r w:rsidR="006A3B7F">
        <w:rPr>
          <w:rFonts w:ascii="Calibri" w:hAnsi="Calibri" w:cs="Calibri"/>
        </w:rPr>
        <w:t>,</w:t>
      </w:r>
      <w:r w:rsidR="00104494">
        <w:rPr>
          <w:rFonts w:ascii="Calibri" w:hAnsi="Calibri" w:cs="Calibri"/>
        </w:rPr>
        <w:t xml:space="preserve"> and </w:t>
      </w:r>
      <w:r w:rsidR="006A3B7F">
        <w:rPr>
          <w:rFonts w:ascii="Calibri" w:hAnsi="Calibri" w:cs="Calibri"/>
        </w:rPr>
        <w:t>to boil</w:t>
      </w:r>
      <w:r w:rsidR="00104494">
        <w:rPr>
          <w:rFonts w:ascii="Calibri" w:hAnsi="Calibri" w:cs="Calibri"/>
        </w:rPr>
        <w:t xml:space="preserve"> water for children </w:t>
      </w:r>
      <w:r w:rsidR="006A3B7F">
        <w:rPr>
          <w:rFonts w:ascii="Calibri" w:hAnsi="Calibri" w:cs="Calibri"/>
        </w:rPr>
        <w:t>and</w:t>
      </w:r>
      <w:r w:rsidR="00104494">
        <w:rPr>
          <w:rFonts w:ascii="Calibri" w:hAnsi="Calibri" w:cs="Calibri"/>
        </w:rPr>
        <w:t xml:space="preserve"> elderly</w:t>
      </w:r>
      <w:r w:rsidR="006A3B7F">
        <w:rPr>
          <w:rFonts w:ascii="Calibri" w:hAnsi="Calibri" w:cs="Calibri"/>
        </w:rPr>
        <w:t xml:space="preserve"> people</w:t>
      </w:r>
      <w:r w:rsidR="0087306B">
        <w:rPr>
          <w:rFonts w:ascii="Calibri" w:hAnsi="Calibri" w:cs="Calibri"/>
        </w:rPr>
        <w:t>,</w:t>
      </w:r>
      <w:r>
        <w:rPr>
          <w:rFonts w:ascii="Calibri" w:hAnsi="Calibri" w:cs="Calibri"/>
        </w:rPr>
        <w:t xml:space="preserve"> understanding of </w:t>
      </w:r>
      <w:r w:rsidR="001466BC">
        <w:rPr>
          <w:rFonts w:ascii="Calibri" w:hAnsi="Calibri" w:cs="Calibri"/>
        </w:rPr>
        <w:t>the</w:t>
      </w:r>
      <w:r>
        <w:rPr>
          <w:rFonts w:ascii="Calibri" w:hAnsi="Calibri" w:cs="Calibri"/>
        </w:rPr>
        <w:t xml:space="preserve"> importance </w:t>
      </w:r>
      <w:r w:rsidR="001466BC">
        <w:rPr>
          <w:rFonts w:ascii="Calibri" w:hAnsi="Calibri" w:cs="Calibri"/>
        </w:rPr>
        <w:t xml:space="preserve">of these measures </w:t>
      </w:r>
      <w:r>
        <w:rPr>
          <w:rFonts w:ascii="Calibri" w:hAnsi="Calibri" w:cs="Calibri"/>
        </w:rPr>
        <w:t>and</w:t>
      </w:r>
      <w:r w:rsidR="001466BC">
        <w:rPr>
          <w:rFonts w:ascii="Calibri" w:hAnsi="Calibri" w:cs="Calibri"/>
        </w:rPr>
        <w:t xml:space="preserve"> their</w:t>
      </w:r>
      <w:r>
        <w:rPr>
          <w:rFonts w:ascii="Calibri" w:hAnsi="Calibri" w:cs="Calibri"/>
        </w:rPr>
        <w:t xml:space="preserve"> impact is lacking. External support (training, and community tank maintenance) is limited due to lack of resourcing for </w:t>
      </w:r>
      <w:r w:rsidR="004A1583">
        <w:rPr>
          <w:rFonts w:ascii="Calibri" w:hAnsi="Calibri" w:cs="Calibri"/>
        </w:rPr>
        <w:t>Tonga Public Health</w:t>
      </w:r>
      <w:r w:rsidRPr="00F95142">
        <w:rPr>
          <w:rFonts w:ascii="Calibri" w:hAnsi="Calibri" w:cs="Calibri"/>
        </w:rPr>
        <w:t xml:space="preserve">. </w:t>
      </w:r>
    </w:p>
    <w:p w14:paraId="058A0557" w14:textId="77777777" w:rsidR="00F27D15" w:rsidRDefault="00F27D15" w:rsidP="00F27D15">
      <w:pPr>
        <w:rPr>
          <w:rFonts w:asciiTheme="minorHAnsi" w:hAnsiTheme="minorHAnsi" w:cstheme="minorHAnsi"/>
          <w:b/>
          <w:color w:val="864EA8" w:themeColor="accent1" w:themeShade="BF"/>
        </w:rPr>
      </w:pPr>
    </w:p>
    <w:p w14:paraId="31C69129" w14:textId="1AFB7FEC" w:rsidR="00F27D15" w:rsidRPr="00F27D15" w:rsidRDefault="00F27D15" w:rsidP="00F27D15">
      <w:pPr>
        <w:rPr>
          <w:rFonts w:asciiTheme="minorHAnsi" w:hAnsiTheme="minorHAnsi" w:cstheme="minorHAnsi"/>
          <w:b/>
          <w:color w:val="864EA8" w:themeColor="accent1" w:themeShade="BF"/>
        </w:rPr>
      </w:pPr>
      <w:r>
        <w:rPr>
          <w:rFonts w:asciiTheme="minorHAnsi" w:hAnsiTheme="minorHAnsi" w:cstheme="minorHAnsi"/>
          <w:b/>
          <w:color w:val="864EA8" w:themeColor="accent1" w:themeShade="BF"/>
        </w:rPr>
        <w:t xml:space="preserve">Sustainability </w:t>
      </w:r>
    </w:p>
    <w:p w14:paraId="29BB8E4A" w14:textId="0DAA8FBB" w:rsidR="00F27D15" w:rsidRDefault="00F27D15" w:rsidP="00F27D15">
      <w:pPr>
        <w:rPr>
          <w:rFonts w:ascii="Calibri" w:hAnsi="Calibri" w:cs="Calibri"/>
          <w:szCs w:val="22"/>
        </w:rPr>
      </w:pPr>
      <w:r>
        <w:rPr>
          <w:rFonts w:ascii="Calibri" w:hAnsi="Calibri" w:cs="Calibri"/>
          <w:szCs w:val="22"/>
        </w:rPr>
        <w:t>For long-term effectiveness, interventions need to focus on capacity development to support self-sufficiency. MORDI recognises this, intentionally building community ownership in projects through co-design, co-payment</w:t>
      </w:r>
      <w:r w:rsidR="00AA0D6F">
        <w:rPr>
          <w:rFonts w:ascii="Calibri" w:hAnsi="Calibri" w:cs="Calibri"/>
          <w:szCs w:val="22"/>
        </w:rPr>
        <w:t>,</w:t>
      </w:r>
      <w:r>
        <w:rPr>
          <w:rFonts w:ascii="Calibri" w:hAnsi="Calibri" w:cs="Calibri"/>
          <w:szCs w:val="22"/>
        </w:rPr>
        <w:t xml:space="preserve"> and by working in partnership with town officers</w:t>
      </w:r>
      <w:r w:rsidR="00AA0D6F">
        <w:rPr>
          <w:rFonts w:ascii="Calibri" w:hAnsi="Calibri" w:cs="Calibri"/>
          <w:szCs w:val="22"/>
        </w:rPr>
        <w:t xml:space="preserve"> and </w:t>
      </w:r>
      <w:r w:rsidR="00283635">
        <w:rPr>
          <w:rFonts w:ascii="Calibri" w:hAnsi="Calibri" w:cs="Calibri"/>
          <w:szCs w:val="22"/>
        </w:rPr>
        <w:t>V</w:t>
      </w:r>
      <w:r w:rsidR="00AA0D6F">
        <w:rPr>
          <w:rFonts w:ascii="Calibri" w:hAnsi="Calibri" w:cs="Calibri"/>
          <w:szCs w:val="22"/>
        </w:rPr>
        <w:t xml:space="preserve">illage </w:t>
      </w:r>
      <w:r w:rsidR="00283635">
        <w:rPr>
          <w:rFonts w:ascii="Calibri" w:hAnsi="Calibri" w:cs="Calibri"/>
          <w:szCs w:val="22"/>
        </w:rPr>
        <w:t>W</w:t>
      </w:r>
      <w:r w:rsidR="00AA0D6F">
        <w:rPr>
          <w:rFonts w:ascii="Calibri" w:hAnsi="Calibri" w:cs="Calibri"/>
          <w:szCs w:val="22"/>
        </w:rPr>
        <w:t xml:space="preserve">ater </w:t>
      </w:r>
      <w:r w:rsidR="00283635">
        <w:rPr>
          <w:rFonts w:ascii="Calibri" w:hAnsi="Calibri" w:cs="Calibri"/>
          <w:szCs w:val="22"/>
        </w:rPr>
        <w:t>C</w:t>
      </w:r>
      <w:r w:rsidR="00AA0D6F">
        <w:rPr>
          <w:rFonts w:ascii="Calibri" w:hAnsi="Calibri" w:cs="Calibri"/>
          <w:szCs w:val="22"/>
        </w:rPr>
        <w:t>ommittees</w:t>
      </w:r>
      <w:r w:rsidR="00283635">
        <w:rPr>
          <w:rFonts w:ascii="Calibri" w:hAnsi="Calibri" w:cs="Calibri"/>
          <w:szCs w:val="22"/>
        </w:rPr>
        <w:t xml:space="preserve"> (VWCs)</w:t>
      </w:r>
      <w:r>
        <w:rPr>
          <w:rFonts w:ascii="Calibri" w:hAnsi="Calibri" w:cs="Calibri"/>
          <w:szCs w:val="22"/>
        </w:rPr>
        <w:t xml:space="preserve">. However, increased focus on developing sustainable systems may better support communities to provide </w:t>
      </w:r>
      <w:r w:rsidR="00942116">
        <w:rPr>
          <w:rFonts w:ascii="Calibri" w:hAnsi="Calibri" w:cs="Calibri"/>
          <w:szCs w:val="22"/>
        </w:rPr>
        <w:t>regular</w:t>
      </w:r>
      <w:r>
        <w:rPr>
          <w:rFonts w:ascii="Calibri" w:hAnsi="Calibri" w:cs="Calibri"/>
          <w:szCs w:val="22"/>
        </w:rPr>
        <w:t xml:space="preserve"> training and </w:t>
      </w:r>
      <w:r w:rsidR="003E4A04">
        <w:rPr>
          <w:rFonts w:ascii="Calibri" w:hAnsi="Calibri" w:cs="Calibri"/>
          <w:szCs w:val="22"/>
        </w:rPr>
        <w:t xml:space="preserve">continue to </w:t>
      </w:r>
      <w:r>
        <w:rPr>
          <w:rFonts w:ascii="Calibri" w:hAnsi="Calibri" w:cs="Calibri"/>
          <w:szCs w:val="22"/>
        </w:rPr>
        <w:t xml:space="preserve">support </w:t>
      </w:r>
      <w:r w:rsidR="00F6402E">
        <w:rPr>
          <w:rFonts w:ascii="Calibri" w:hAnsi="Calibri" w:cs="Calibri"/>
          <w:szCs w:val="22"/>
        </w:rPr>
        <w:t xml:space="preserve">improved </w:t>
      </w:r>
      <w:r>
        <w:rPr>
          <w:rFonts w:ascii="Calibri" w:hAnsi="Calibri" w:cs="Calibri"/>
          <w:szCs w:val="22"/>
        </w:rPr>
        <w:t xml:space="preserve">water access. For example, </w:t>
      </w:r>
      <w:r w:rsidR="009A077A">
        <w:rPr>
          <w:rFonts w:ascii="Calibri" w:hAnsi="Calibri" w:cs="Calibri"/>
          <w:szCs w:val="22"/>
        </w:rPr>
        <w:t xml:space="preserve">supporting the development of reliable supply systems between ‘Eua’s communities and suppliers </w:t>
      </w:r>
      <w:r w:rsidR="000577A3">
        <w:rPr>
          <w:rFonts w:ascii="Calibri" w:hAnsi="Calibri" w:cs="Calibri"/>
          <w:szCs w:val="22"/>
        </w:rPr>
        <w:t>in</w:t>
      </w:r>
      <w:r w:rsidR="009A077A">
        <w:rPr>
          <w:rFonts w:ascii="Calibri" w:hAnsi="Calibri" w:cs="Calibri"/>
          <w:szCs w:val="22"/>
        </w:rPr>
        <w:t xml:space="preserve"> Tongatapu </w:t>
      </w:r>
      <w:r w:rsidR="00093589">
        <w:rPr>
          <w:rFonts w:ascii="Calibri" w:hAnsi="Calibri" w:cs="Calibri"/>
          <w:szCs w:val="22"/>
        </w:rPr>
        <w:t xml:space="preserve">may help </w:t>
      </w:r>
      <w:r w:rsidR="007870E6">
        <w:rPr>
          <w:rFonts w:ascii="Calibri" w:hAnsi="Calibri" w:cs="Calibri"/>
          <w:szCs w:val="22"/>
        </w:rPr>
        <w:t xml:space="preserve">to </w:t>
      </w:r>
      <w:r w:rsidR="009A077A">
        <w:rPr>
          <w:rFonts w:ascii="Calibri" w:hAnsi="Calibri" w:cs="Calibri"/>
          <w:szCs w:val="22"/>
        </w:rPr>
        <w:t xml:space="preserve">overcome </w:t>
      </w:r>
      <w:r>
        <w:rPr>
          <w:rFonts w:ascii="Calibri" w:hAnsi="Calibri" w:cs="Calibri"/>
          <w:szCs w:val="22"/>
        </w:rPr>
        <w:t>barriers to accessing repair materials</w:t>
      </w:r>
      <w:r w:rsidR="009A077A">
        <w:rPr>
          <w:rFonts w:ascii="Calibri" w:hAnsi="Calibri" w:cs="Calibri"/>
          <w:szCs w:val="22"/>
        </w:rPr>
        <w:t xml:space="preserve">. </w:t>
      </w:r>
    </w:p>
    <w:p w14:paraId="1B4E6FCC" w14:textId="77777777" w:rsidR="00F27D15" w:rsidRDefault="00F27D15" w:rsidP="00F27D15">
      <w:pPr>
        <w:rPr>
          <w:rFonts w:ascii="Calibri" w:hAnsi="Calibri" w:cs="Calibri"/>
          <w:szCs w:val="22"/>
        </w:rPr>
      </w:pPr>
    </w:p>
    <w:p w14:paraId="08911A49" w14:textId="77777777" w:rsidR="00C21CB9" w:rsidRPr="00F42FB5" w:rsidRDefault="007038BA" w:rsidP="00C21CB9">
      <w:pPr>
        <w:rPr>
          <w:rFonts w:ascii="Calibri" w:hAnsi="Calibri" w:cs="Calibri"/>
          <w:szCs w:val="22"/>
        </w:rPr>
      </w:pPr>
      <w:r>
        <w:rPr>
          <w:rFonts w:ascii="Calibri" w:hAnsi="Calibri" w:cs="Calibri"/>
          <w:szCs w:val="22"/>
        </w:rPr>
        <w:t xml:space="preserve">VWCs </w:t>
      </w:r>
      <w:r w:rsidR="00F27D15" w:rsidRPr="00F42FB5">
        <w:rPr>
          <w:rFonts w:ascii="Calibri" w:hAnsi="Calibri" w:cs="Calibri"/>
          <w:szCs w:val="22"/>
        </w:rPr>
        <w:t xml:space="preserve">are a </w:t>
      </w:r>
      <w:r w:rsidR="00161C6B">
        <w:rPr>
          <w:rFonts w:ascii="Calibri" w:hAnsi="Calibri" w:cs="Calibri"/>
          <w:szCs w:val="22"/>
        </w:rPr>
        <w:t>valuable</w:t>
      </w:r>
      <w:r w:rsidR="00F27D15" w:rsidRPr="00F42FB5">
        <w:rPr>
          <w:rFonts w:ascii="Calibri" w:hAnsi="Calibri" w:cs="Calibri"/>
          <w:szCs w:val="22"/>
        </w:rPr>
        <w:t xml:space="preserve">, yet under-utilised resource for ‘Eua’s communities. Collaboration between VWCs, Tonga Water Board and </w:t>
      </w:r>
      <w:r w:rsidR="002273FF">
        <w:rPr>
          <w:rFonts w:ascii="Calibri" w:hAnsi="Calibri" w:cs="Calibri"/>
          <w:szCs w:val="22"/>
        </w:rPr>
        <w:t>TPH</w:t>
      </w:r>
      <w:r w:rsidR="00F27D15" w:rsidRPr="00F42FB5">
        <w:rPr>
          <w:rFonts w:ascii="Calibri" w:hAnsi="Calibri" w:cs="Calibri"/>
          <w:szCs w:val="22"/>
        </w:rPr>
        <w:t xml:space="preserve"> is a key opportunity. With targeted capacity building and resourcing, VWCs could effectively address many of the </w:t>
      </w:r>
      <w:r w:rsidR="00B762EF">
        <w:rPr>
          <w:rFonts w:ascii="Calibri" w:hAnsi="Calibri" w:cs="Calibri"/>
          <w:szCs w:val="22"/>
        </w:rPr>
        <w:t xml:space="preserve">identified </w:t>
      </w:r>
      <w:r w:rsidR="00F27D15" w:rsidRPr="00F42FB5">
        <w:rPr>
          <w:rFonts w:ascii="Calibri" w:hAnsi="Calibri" w:cs="Calibri"/>
          <w:szCs w:val="22"/>
        </w:rPr>
        <w:t xml:space="preserve">community-level training and routine maintenance gaps. However, lack of engagement from VWC members is a key limitation, </w:t>
      </w:r>
      <w:r w:rsidR="00C21CB9">
        <w:rPr>
          <w:rFonts w:ascii="Calibri" w:hAnsi="Calibri" w:cs="Calibri"/>
          <w:szCs w:val="22"/>
        </w:rPr>
        <w:t xml:space="preserve">It is likely that </w:t>
      </w:r>
      <w:r w:rsidR="00C21CB9" w:rsidRPr="00F42FB5">
        <w:rPr>
          <w:rFonts w:ascii="Calibri" w:hAnsi="Calibri" w:cs="Calibri"/>
          <w:szCs w:val="22"/>
        </w:rPr>
        <w:t xml:space="preserve">increasing engagement and output will require meaningful incentives. </w:t>
      </w:r>
    </w:p>
    <w:p w14:paraId="10CF5697" w14:textId="41AA188B" w:rsidR="00F27D15" w:rsidRDefault="00F27D15" w:rsidP="00F27D15">
      <w:pPr>
        <w:rPr>
          <w:rFonts w:ascii="Calibri" w:hAnsi="Calibri" w:cs="Calibri"/>
          <w:szCs w:val="22"/>
        </w:rPr>
      </w:pPr>
    </w:p>
    <w:p w14:paraId="213E42ED" w14:textId="030A7AC8" w:rsidR="007E5E4E" w:rsidRDefault="007E5E4E" w:rsidP="00F27D15">
      <w:pPr>
        <w:rPr>
          <w:rFonts w:ascii="Calibri" w:hAnsi="Calibri" w:cs="Calibri"/>
          <w:szCs w:val="22"/>
        </w:rPr>
      </w:pPr>
      <w:r>
        <w:rPr>
          <w:rFonts w:ascii="Calibri" w:hAnsi="Calibri" w:cs="Calibri"/>
        </w:rPr>
        <w:t xml:space="preserve">A further finding identified through our research was that the use of </w:t>
      </w:r>
      <w:r>
        <w:rPr>
          <w:rFonts w:ascii="Calibri" w:hAnsi="Calibri" w:cs="Calibri"/>
          <w:szCs w:val="22"/>
        </w:rPr>
        <w:t xml:space="preserve">disaster response assets (such as The Tonga National Youth Congress tank cleaning) during </w:t>
      </w:r>
      <w:r>
        <w:rPr>
          <w:rFonts w:ascii="Calibri" w:hAnsi="Calibri" w:cs="Calibri"/>
          <w:szCs w:val="22"/>
        </w:rPr>
        <w:t xml:space="preserve">peacetime needs to be carefully considered and well communicated to ensure it does not disincentivise the development of sustainable approaches to routine maintenance.  </w:t>
      </w:r>
    </w:p>
    <w:p w14:paraId="3434DF69" w14:textId="77777777" w:rsidR="00815B86" w:rsidRPr="002609DA" w:rsidRDefault="00815B86" w:rsidP="00F27D15">
      <w:pPr>
        <w:rPr>
          <w:rFonts w:ascii="Calibri" w:hAnsi="Calibri" w:cs="Calibri"/>
        </w:rPr>
      </w:pPr>
    </w:p>
    <w:p w14:paraId="3E35491F" w14:textId="7184C3CE" w:rsidR="007870E6" w:rsidRPr="007870E6" w:rsidRDefault="007870E6" w:rsidP="00F27D15">
      <w:pPr>
        <w:pStyle w:val="BulletPoints"/>
        <w:numPr>
          <w:ilvl w:val="0"/>
          <w:numId w:val="0"/>
        </w:numPr>
        <w:spacing w:after="0"/>
        <w:jc w:val="left"/>
        <w:rPr>
          <w:rFonts w:asciiTheme="minorHAnsi" w:hAnsiTheme="minorHAnsi" w:cstheme="minorHAnsi"/>
          <w:b/>
          <w:color w:val="864EA8" w:themeColor="accent1" w:themeShade="BF"/>
          <w:sz w:val="22"/>
          <w:szCs w:val="22"/>
        </w:rPr>
      </w:pPr>
      <w:r w:rsidRPr="007870E6">
        <w:rPr>
          <w:rFonts w:asciiTheme="minorHAnsi" w:hAnsiTheme="minorHAnsi" w:cstheme="minorHAnsi"/>
          <w:b/>
          <w:color w:val="864EA8" w:themeColor="accent1" w:themeShade="BF"/>
          <w:sz w:val="22"/>
          <w:szCs w:val="22"/>
        </w:rPr>
        <w:t>Equity</w:t>
      </w:r>
    </w:p>
    <w:p w14:paraId="7D39872A" w14:textId="1DDECE55" w:rsidR="00F27D15" w:rsidRDefault="007870E6" w:rsidP="00F27D15">
      <w:pPr>
        <w:pStyle w:val="BulletPoints"/>
        <w:numPr>
          <w:ilvl w:val="0"/>
          <w:numId w:val="0"/>
        </w:numPr>
        <w:spacing w:after="0"/>
        <w:jc w:val="left"/>
        <w:rPr>
          <w:rFonts w:ascii="Calibri" w:hAnsi="Calibri" w:cs="Calibri"/>
          <w:sz w:val="22"/>
          <w:szCs w:val="22"/>
        </w:rPr>
      </w:pPr>
      <w:r w:rsidRPr="007870E6">
        <w:rPr>
          <w:rFonts w:ascii="Calibri" w:hAnsi="Calibri" w:cs="Calibri"/>
          <w:iCs/>
          <w:sz w:val="22"/>
          <w:szCs w:val="22"/>
        </w:rPr>
        <w:t>Equity</w:t>
      </w:r>
      <w:r w:rsidR="00F27D15" w:rsidRPr="007870E6">
        <w:rPr>
          <w:rFonts w:ascii="Calibri" w:hAnsi="Calibri" w:cs="Calibri"/>
          <w:iCs/>
          <w:sz w:val="22"/>
          <w:szCs w:val="22"/>
        </w:rPr>
        <w:t xml:space="preserve"> appeared to be </w:t>
      </w:r>
      <w:r w:rsidR="0007043C" w:rsidRPr="007870E6">
        <w:rPr>
          <w:rFonts w:ascii="Calibri" w:hAnsi="Calibri" w:cs="Calibri"/>
          <w:iCs/>
          <w:sz w:val="22"/>
          <w:szCs w:val="22"/>
        </w:rPr>
        <w:t xml:space="preserve">a </w:t>
      </w:r>
      <w:r w:rsidR="00F27D15" w:rsidRPr="007870E6">
        <w:rPr>
          <w:rFonts w:ascii="Calibri" w:hAnsi="Calibri" w:cs="Calibri"/>
          <w:iCs/>
          <w:sz w:val="22"/>
          <w:szCs w:val="22"/>
        </w:rPr>
        <w:t xml:space="preserve">strength of water projects delivered on ‘Eua, </w:t>
      </w:r>
      <w:r w:rsidRPr="007870E6">
        <w:rPr>
          <w:rFonts w:ascii="Calibri" w:hAnsi="Calibri" w:cs="Calibri"/>
          <w:iCs/>
          <w:sz w:val="22"/>
          <w:szCs w:val="22"/>
        </w:rPr>
        <w:t>supported by</w:t>
      </w:r>
      <w:r w:rsidR="00FC52C0">
        <w:rPr>
          <w:rFonts w:ascii="Calibri" w:hAnsi="Calibri" w:cs="Calibri"/>
          <w:iCs/>
          <w:sz w:val="22"/>
          <w:szCs w:val="22"/>
        </w:rPr>
        <w:t xml:space="preserve"> implementer’s</w:t>
      </w:r>
      <w:r w:rsidRPr="007870E6">
        <w:rPr>
          <w:rFonts w:ascii="Calibri" w:hAnsi="Calibri" w:cs="Calibri"/>
          <w:iCs/>
          <w:sz w:val="22"/>
          <w:szCs w:val="22"/>
        </w:rPr>
        <w:t xml:space="preserve"> </w:t>
      </w:r>
      <w:r w:rsidR="00FC52C0">
        <w:rPr>
          <w:rFonts w:ascii="Calibri" w:hAnsi="Calibri" w:cs="Calibri"/>
          <w:iCs/>
          <w:sz w:val="22"/>
          <w:szCs w:val="22"/>
        </w:rPr>
        <w:t>adherence to strict inclusion criteria that prioritised the most in</w:t>
      </w:r>
      <w:r w:rsidR="00326EF5">
        <w:rPr>
          <w:rFonts w:ascii="Calibri" w:hAnsi="Calibri" w:cs="Calibri"/>
          <w:iCs/>
          <w:sz w:val="22"/>
          <w:szCs w:val="22"/>
        </w:rPr>
        <w:t>-</w:t>
      </w:r>
      <w:r w:rsidR="00FC52C0">
        <w:rPr>
          <w:rFonts w:ascii="Calibri" w:hAnsi="Calibri" w:cs="Calibri"/>
          <w:iCs/>
          <w:sz w:val="22"/>
          <w:szCs w:val="22"/>
        </w:rPr>
        <w:t>need households. H</w:t>
      </w:r>
      <w:r w:rsidR="00F27D15" w:rsidRPr="007870E6">
        <w:rPr>
          <w:rFonts w:ascii="Calibri" w:hAnsi="Calibri" w:cs="Calibri"/>
          <w:iCs/>
          <w:sz w:val="22"/>
          <w:szCs w:val="22"/>
        </w:rPr>
        <w:t xml:space="preserve">owever, </w:t>
      </w:r>
      <w:r w:rsidR="00F27D15" w:rsidRPr="00F42FB5">
        <w:rPr>
          <w:rFonts w:ascii="Calibri" w:hAnsi="Calibri" w:cs="Calibri"/>
          <w:sz w:val="22"/>
          <w:szCs w:val="22"/>
        </w:rPr>
        <w:t>further</w:t>
      </w:r>
      <w:r w:rsidR="00F27D15">
        <w:rPr>
          <w:rFonts w:ascii="Calibri" w:hAnsi="Calibri" w:cs="Calibri"/>
          <w:sz w:val="22"/>
          <w:szCs w:val="22"/>
        </w:rPr>
        <w:t xml:space="preserve"> focus on the</w:t>
      </w:r>
      <w:r w:rsidR="00F27D15" w:rsidRPr="00F42FB5">
        <w:rPr>
          <w:rFonts w:ascii="Calibri" w:hAnsi="Calibri" w:cs="Calibri"/>
          <w:sz w:val="22"/>
          <w:szCs w:val="22"/>
        </w:rPr>
        <w:t xml:space="preserve"> inclusion of women is</w:t>
      </w:r>
      <w:r w:rsidR="00DC57DB">
        <w:rPr>
          <w:rFonts w:ascii="Calibri" w:hAnsi="Calibri" w:cs="Calibri"/>
          <w:sz w:val="22"/>
          <w:szCs w:val="22"/>
        </w:rPr>
        <w:t xml:space="preserve"> recognised as an </w:t>
      </w:r>
      <w:r w:rsidR="00F27D15" w:rsidRPr="00F42FB5">
        <w:rPr>
          <w:rFonts w:ascii="Calibri" w:hAnsi="Calibri" w:cs="Calibri"/>
          <w:sz w:val="22"/>
          <w:szCs w:val="22"/>
        </w:rPr>
        <w:t xml:space="preserve">opportunity. Their typical role in </w:t>
      </w:r>
      <w:r w:rsidR="00F27D15">
        <w:rPr>
          <w:rFonts w:ascii="Calibri" w:hAnsi="Calibri" w:cs="Calibri"/>
          <w:sz w:val="22"/>
          <w:szCs w:val="22"/>
        </w:rPr>
        <w:t xml:space="preserve">the </w:t>
      </w:r>
      <w:r w:rsidR="00F27D15" w:rsidRPr="00F42FB5">
        <w:rPr>
          <w:rFonts w:ascii="Calibri" w:hAnsi="Calibri" w:cs="Calibri"/>
          <w:sz w:val="22"/>
          <w:szCs w:val="22"/>
        </w:rPr>
        <w:t>household results in increased awareness of water supply issues and increased availability during times of water system malfunction.</w:t>
      </w:r>
      <w:r w:rsidR="00F27D15">
        <w:rPr>
          <w:rFonts w:ascii="Calibri" w:hAnsi="Calibri" w:cs="Calibri"/>
          <w:sz w:val="22"/>
          <w:szCs w:val="22"/>
        </w:rPr>
        <w:t xml:space="preserve"> Targeted capacity building for women is likely to support greater maintenance and sustainability of systems. </w:t>
      </w:r>
    </w:p>
    <w:p w14:paraId="23034BD3" w14:textId="77777777" w:rsidR="00F27D15" w:rsidRPr="00073A88" w:rsidRDefault="00F27D15" w:rsidP="00F27D15">
      <w:pPr>
        <w:rPr>
          <w:rFonts w:ascii="Calibri" w:hAnsi="Calibri" w:cs="Calibri"/>
        </w:rPr>
      </w:pPr>
    </w:p>
    <w:p w14:paraId="508090FA" w14:textId="77777777" w:rsidR="00F27D15" w:rsidRPr="004E07A8" w:rsidRDefault="00F27D15" w:rsidP="00F27D15">
      <w:pPr>
        <w:rPr>
          <w:rFonts w:asciiTheme="minorHAnsi" w:hAnsiTheme="minorHAnsi" w:cstheme="minorHAnsi"/>
          <w:b/>
          <w:color w:val="864EA8" w:themeColor="accent1" w:themeShade="BF"/>
        </w:rPr>
      </w:pPr>
      <w:r>
        <w:rPr>
          <w:rFonts w:asciiTheme="minorHAnsi" w:hAnsiTheme="minorHAnsi" w:cstheme="minorHAnsi"/>
          <w:b/>
          <w:color w:val="864EA8" w:themeColor="accent1" w:themeShade="BF"/>
        </w:rPr>
        <w:t xml:space="preserve">Systems thinking </w:t>
      </w:r>
    </w:p>
    <w:p w14:paraId="6F46B0EB" w14:textId="7D2FD35D" w:rsidR="00F27D15" w:rsidRPr="00AE69C6" w:rsidRDefault="00F27D15" w:rsidP="00F27D15">
      <w:pPr>
        <w:rPr>
          <w:rFonts w:ascii="Calibri" w:hAnsi="Calibri" w:cs="Calibri"/>
        </w:rPr>
      </w:pPr>
      <w:r>
        <w:rPr>
          <w:rFonts w:ascii="Calibri" w:hAnsi="Calibri" w:cs="Calibri"/>
        </w:rPr>
        <w:t xml:space="preserve">While CDPs identified that additional water tanks are still required on ‘Eua, a </w:t>
      </w:r>
      <w:r w:rsidR="0072317C">
        <w:rPr>
          <w:rFonts w:ascii="Calibri" w:hAnsi="Calibri" w:cs="Calibri"/>
        </w:rPr>
        <w:t>notable</w:t>
      </w:r>
      <w:r>
        <w:rPr>
          <w:rFonts w:ascii="Calibri" w:hAnsi="Calibri" w:cs="Calibri"/>
        </w:rPr>
        <w:t xml:space="preserve"> finding was that many reports of insufficient tanks reflect a growing desire for households to have more than one tank to increase resilience to </w:t>
      </w:r>
      <w:r w:rsidRPr="00587F0D">
        <w:rPr>
          <w:rFonts w:ascii="Calibri" w:hAnsi="Calibri" w:cs="Calibri"/>
        </w:rPr>
        <w:t xml:space="preserve">droughts. This is indicative of the low trust communities have in the improved water </w:t>
      </w:r>
      <w:r w:rsidRPr="00AE69C6">
        <w:rPr>
          <w:rFonts w:ascii="Calibri" w:hAnsi="Calibri" w:cs="Calibri"/>
        </w:rPr>
        <w:t xml:space="preserve">treatment plant. This distrust highlights weak coordination between Tonga Water Board and other public services involved in Tonga’s water system. </w:t>
      </w:r>
    </w:p>
    <w:p w14:paraId="05FE0902" w14:textId="77777777" w:rsidR="00F27D15" w:rsidRPr="00AE69C6" w:rsidRDefault="00F27D15" w:rsidP="00F27D15">
      <w:pPr>
        <w:rPr>
          <w:rFonts w:ascii="Calibri" w:hAnsi="Calibri" w:cs="Calibri"/>
        </w:rPr>
      </w:pPr>
    </w:p>
    <w:p w14:paraId="7DAC38E9" w14:textId="5B835191" w:rsidR="00F27D15" w:rsidRDefault="00F27D15" w:rsidP="00F27D15">
      <w:pPr>
        <w:rPr>
          <w:rFonts w:ascii="Calibri" w:hAnsi="Calibri" w:cs="Calibri"/>
        </w:rPr>
      </w:pPr>
      <w:r>
        <w:rPr>
          <w:rFonts w:ascii="Calibri" w:hAnsi="Calibri" w:cs="Calibri"/>
        </w:rPr>
        <w:t>S</w:t>
      </w:r>
      <w:r w:rsidRPr="00AE69C6">
        <w:rPr>
          <w:rFonts w:ascii="Calibri" w:hAnsi="Calibri" w:cs="Calibri"/>
        </w:rPr>
        <w:t xml:space="preserve">ystems thinking </w:t>
      </w:r>
      <w:r>
        <w:rPr>
          <w:rFonts w:ascii="Calibri" w:hAnsi="Calibri" w:cs="Calibri"/>
        </w:rPr>
        <w:t xml:space="preserve">is essential to </w:t>
      </w:r>
      <w:r w:rsidR="005A07C2">
        <w:rPr>
          <w:rFonts w:ascii="Calibri" w:hAnsi="Calibri" w:cs="Calibri"/>
        </w:rPr>
        <w:t xml:space="preserve">resilient </w:t>
      </w:r>
      <w:r w:rsidRPr="00AE69C6">
        <w:rPr>
          <w:rFonts w:ascii="Calibri" w:hAnsi="Calibri" w:cs="Calibri"/>
        </w:rPr>
        <w:t>water development</w:t>
      </w:r>
      <w:r>
        <w:rPr>
          <w:rFonts w:ascii="Calibri" w:hAnsi="Calibri" w:cs="Calibri"/>
        </w:rPr>
        <w:t xml:space="preserve"> </w:t>
      </w:r>
      <w:r w:rsidR="005A07C2">
        <w:rPr>
          <w:rFonts w:ascii="Calibri" w:hAnsi="Calibri" w:cs="Calibri"/>
        </w:rPr>
        <w:t>(</w:t>
      </w:r>
      <w:r>
        <w:rPr>
          <w:rFonts w:ascii="Calibri" w:hAnsi="Calibri" w:cs="Calibri"/>
        </w:rPr>
        <w:t>resilient to weather events and disasters</w:t>
      </w:r>
      <w:r w:rsidR="005A07C2">
        <w:rPr>
          <w:rFonts w:ascii="Calibri" w:hAnsi="Calibri" w:cs="Calibri"/>
        </w:rPr>
        <w:t xml:space="preserve">). </w:t>
      </w:r>
      <w:r w:rsidRPr="00AE69C6">
        <w:rPr>
          <w:rFonts w:ascii="Calibri" w:hAnsi="Calibri" w:cs="Calibri"/>
        </w:rPr>
        <w:t xml:space="preserve">Water resilience on ‘Eua is supported by capacity across the water system (reticulated supply, household catchments, and community facility catchments). </w:t>
      </w:r>
      <w:r>
        <w:rPr>
          <w:rFonts w:ascii="Calibri" w:hAnsi="Calibri" w:cs="Calibri"/>
        </w:rPr>
        <w:t>However, for these systems to effectively increase perceived water security, widespread understanding of water source capacities</w:t>
      </w:r>
      <w:r w:rsidRPr="00AE69C6">
        <w:rPr>
          <w:rFonts w:ascii="Calibri" w:hAnsi="Calibri" w:cs="Calibri"/>
        </w:rPr>
        <w:t xml:space="preserve"> </w:t>
      </w:r>
      <w:r>
        <w:rPr>
          <w:rFonts w:ascii="Calibri" w:hAnsi="Calibri" w:cs="Calibri"/>
        </w:rPr>
        <w:t xml:space="preserve">and trust in those sources is essential. </w:t>
      </w:r>
    </w:p>
    <w:p w14:paraId="7C4AFB8D" w14:textId="77777777" w:rsidR="00F27D15" w:rsidRDefault="00F27D15" w:rsidP="00F27D15">
      <w:pPr>
        <w:rPr>
          <w:rFonts w:ascii="Calibri" w:hAnsi="Calibri" w:cs="Calibri"/>
        </w:rPr>
      </w:pPr>
    </w:p>
    <w:p w14:paraId="5EF16BB1" w14:textId="7957880B" w:rsidR="00F27D15" w:rsidRPr="004E07A8" w:rsidRDefault="00F27D15" w:rsidP="00F27D15">
      <w:pPr>
        <w:rPr>
          <w:rFonts w:asciiTheme="minorHAnsi" w:hAnsiTheme="minorHAnsi" w:cstheme="minorHAnsi"/>
          <w:b/>
          <w:color w:val="864EA8" w:themeColor="accent1" w:themeShade="BF"/>
        </w:rPr>
      </w:pPr>
      <w:r w:rsidRPr="00B84F59">
        <w:rPr>
          <w:rFonts w:asciiTheme="minorHAnsi" w:hAnsiTheme="minorHAnsi" w:cstheme="minorHAnsi"/>
          <w:b/>
          <w:color w:val="864EA8" w:themeColor="accent1" w:themeShade="BF"/>
        </w:rPr>
        <w:t xml:space="preserve">Data and </w:t>
      </w:r>
      <w:r w:rsidR="000F15F6">
        <w:rPr>
          <w:rFonts w:asciiTheme="minorHAnsi" w:hAnsiTheme="minorHAnsi" w:cstheme="minorHAnsi"/>
          <w:b/>
          <w:color w:val="864EA8" w:themeColor="accent1" w:themeShade="BF"/>
        </w:rPr>
        <w:t>e</w:t>
      </w:r>
      <w:r w:rsidR="000F15F6" w:rsidRPr="00B84F59">
        <w:rPr>
          <w:rFonts w:asciiTheme="minorHAnsi" w:hAnsiTheme="minorHAnsi" w:cstheme="minorHAnsi"/>
          <w:b/>
          <w:color w:val="864EA8" w:themeColor="accent1" w:themeShade="BF"/>
        </w:rPr>
        <w:t>valuation</w:t>
      </w:r>
      <w:r w:rsidR="000F15F6">
        <w:rPr>
          <w:rFonts w:asciiTheme="minorHAnsi" w:hAnsiTheme="minorHAnsi" w:cstheme="minorHAnsi"/>
          <w:b/>
          <w:color w:val="864EA8" w:themeColor="accent1" w:themeShade="BF"/>
        </w:rPr>
        <w:t xml:space="preserve"> </w:t>
      </w:r>
    </w:p>
    <w:p w14:paraId="6EBD59E3" w14:textId="4DB8FC7A" w:rsidR="00F27D15" w:rsidRDefault="00F27D15" w:rsidP="00F27D15">
      <w:pPr>
        <w:rPr>
          <w:rFonts w:ascii="Calibri" w:hAnsi="Calibri" w:cs="Calibri"/>
        </w:rPr>
      </w:pPr>
      <w:r w:rsidRPr="00BC4880">
        <w:rPr>
          <w:rFonts w:ascii="Calibri" w:hAnsi="Calibri" w:cs="Calibri"/>
        </w:rPr>
        <w:t xml:space="preserve">Overall, there is a lack of data to track progress toward water security in Tonga. MORDI’s commitment to evaluating and reporting on projects </w:t>
      </w:r>
      <w:r w:rsidR="00125DAD">
        <w:rPr>
          <w:rFonts w:ascii="Calibri" w:hAnsi="Calibri" w:cs="Calibri"/>
        </w:rPr>
        <w:t>is a move towards addressing this</w:t>
      </w:r>
      <w:r w:rsidRPr="00BC4880">
        <w:rPr>
          <w:rFonts w:ascii="Calibri" w:hAnsi="Calibri" w:cs="Calibri"/>
        </w:rPr>
        <w:t xml:space="preserve"> gap</w:t>
      </w:r>
      <w:r w:rsidR="00574B60">
        <w:rPr>
          <w:rFonts w:ascii="Calibri" w:hAnsi="Calibri" w:cs="Calibri"/>
        </w:rPr>
        <w:t>. H</w:t>
      </w:r>
      <w:r w:rsidRPr="00BC4880">
        <w:rPr>
          <w:rFonts w:ascii="Calibri" w:hAnsi="Calibri" w:cs="Calibri"/>
        </w:rPr>
        <w:t>owever</w:t>
      </w:r>
      <w:r w:rsidR="001B0D7F">
        <w:rPr>
          <w:rFonts w:ascii="Calibri" w:hAnsi="Calibri" w:cs="Calibri"/>
        </w:rPr>
        <w:t>,</w:t>
      </w:r>
      <w:r w:rsidRPr="00BC4880">
        <w:rPr>
          <w:rFonts w:ascii="Calibri" w:hAnsi="Calibri" w:cs="Calibri"/>
        </w:rPr>
        <w:t xml:space="preserve"> expanding the breadth of reporting beyond </w:t>
      </w:r>
      <w:r>
        <w:rPr>
          <w:rFonts w:ascii="Calibri" w:hAnsi="Calibri" w:cs="Calibri"/>
        </w:rPr>
        <w:t>implementation</w:t>
      </w:r>
      <w:r w:rsidRPr="00BC4880">
        <w:rPr>
          <w:rFonts w:ascii="Calibri" w:hAnsi="Calibri" w:cs="Calibri"/>
        </w:rPr>
        <w:t xml:space="preserve"> </w:t>
      </w:r>
      <w:r w:rsidR="00A463F4">
        <w:rPr>
          <w:rFonts w:ascii="Calibri" w:hAnsi="Calibri" w:cs="Calibri"/>
        </w:rPr>
        <w:t xml:space="preserve">assessment </w:t>
      </w:r>
      <w:r w:rsidRPr="00BC4880">
        <w:rPr>
          <w:rFonts w:ascii="Calibri" w:hAnsi="Calibri" w:cs="Calibri"/>
        </w:rPr>
        <w:t xml:space="preserve">to measure long-term impacts </w:t>
      </w:r>
      <w:r w:rsidR="007E5E4E">
        <w:rPr>
          <w:rFonts w:ascii="Calibri" w:hAnsi="Calibri" w:cs="Calibri"/>
        </w:rPr>
        <w:t xml:space="preserve">on </w:t>
      </w:r>
      <w:r w:rsidR="008C08B7">
        <w:rPr>
          <w:rFonts w:ascii="Calibri" w:hAnsi="Calibri" w:cs="Calibri"/>
        </w:rPr>
        <w:t xml:space="preserve">elements of SDG6 (e.g. </w:t>
      </w:r>
      <w:r w:rsidR="007E5E4E">
        <w:rPr>
          <w:rFonts w:ascii="Calibri" w:hAnsi="Calibri" w:cs="Calibri"/>
        </w:rPr>
        <w:t>water security</w:t>
      </w:r>
      <w:r w:rsidR="00911DA6">
        <w:rPr>
          <w:rFonts w:ascii="Calibri" w:hAnsi="Calibri" w:cs="Calibri"/>
        </w:rPr>
        <w:t xml:space="preserve"> </w:t>
      </w:r>
      <w:r w:rsidR="007E5E4E">
        <w:rPr>
          <w:rFonts w:ascii="Calibri" w:hAnsi="Calibri" w:cs="Calibri"/>
        </w:rPr>
        <w:t>and quality</w:t>
      </w:r>
      <w:r w:rsidR="008C08B7">
        <w:rPr>
          <w:rFonts w:ascii="Calibri" w:hAnsi="Calibri" w:cs="Calibri"/>
        </w:rPr>
        <w:t>)</w:t>
      </w:r>
      <w:r w:rsidR="007E5E4E">
        <w:rPr>
          <w:rFonts w:ascii="Calibri" w:hAnsi="Calibri" w:cs="Calibri"/>
        </w:rPr>
        <w:t xml:space="preserve"> </w:t>
      </w:r>
      <w:r w:rsidRPr="00BC4880">
        <w:rPr>
          <w:rFonts w:ascii="Calibri" w:hAnsi="Calibri" w:cs="Calibri"/>
        </w:rPr>
        <w:t>will enable greater identification of remaining gaps</w:t>
      </w:r>
      <w:r w:rsidR="001B0D7F">
        <w:rPr>
          <w:rFonts w:ascii="Calibri" w:hAnsi="Calibri" w:cs="Calibri"/>
        </w:rPr>
        <w:t xml:space="preserve"> </w:t>
      </w:r>
      <w:r w:rsidRPr="00BC4880">
        <w:rPr>
          <w:rFonts w:ascii="Calibri" w:hAnsi="Calibri" w:cs="Calibri"/>
        </w:rPr>
        <w:t xml:space="preserve">and opportunities for implementation improvement. </w:t>
      </w:r>
      <w:r w:rsidR="003F025B">
        <w:rPr>
          <w:rFonts w:ascii="Calibri" w:hAnsi="Calibri" w:cs="Calibri"/>
        </w:rPr>
        <w:t>To ensure these findings are representative of community perspectives, g</w:t>
      </w:r>
      <w:r w:rsidRPr="00BC4880">
        <w:rPr>
          <w:rFonts w:ascii="Calibri" w:hAnsi="Calibri" w:cs="Calibri"/>
        </w:rPr>
        <w:t>oing forward</w:t>
      </w:r>
      <w:r w:rsidR="003F307F">
        <w:rPr>
          <w:rFonts w:ascii="Calibri" w:hAnsi="Calibri" w:cs="Calibri"/>
        </w:rPr>
        <w:t>,</w:t>
      </w:r>
      <w:r w:rsidRPr="00BC4880">
        <w:rPr>
          <w:rFonts w:ascii="Calibri" w:hAnsi="Calibri" w:cs="Calibri"/>
        </w:rPr>
        <w:t xml:space="preserve"> CDP analysis should be </w:t>
      </w:r>
      <w:r w:rsidR="007D2AE8">
        <w:rPr>
          <w:rFonts w:ascii="Calibri" w:hAnsi="Calibri" w:cs="Calibri"/>
        </w:rPr>
        <w:t>included</w:t>
      </w:r>
      <w:r w:rsidRPr="00BC4880">
        <w:rPr>
          <w:rFonts w:ascii="Calibri" w:hAnsi="Calibri" w:cs="Calibri"/>
        </w:rPr>
        <w:t xml:space="preserve"> as one of these measures.</w:t>
      </w:r>
    </w:p>
    <w:p w14:paraId="19A47683" w14:textId="77777777" w:rsidR="00257CBC" w:rsidRPr="00BC4880" w:rsidRDefault="00257CBC" w:rsidP="00F27D15">
      <w:pPr>
        <w:rPr>
          <w:rFonts w:ascii="Calibri" w:hAnsi="Calibri" w:cs="Calibri"/>
        </w:rPr>
      </w:pPr>
    </w:p>
    <w:p w14:paraId="2D4E4FA3" w14:textId="37508BFA" w:rsidR="00F27D15" w:rsidRDefault="00F27D15" w:rsidP="00F27D15">
      <w:pPr>
        <w:rPr>
          <w:rFonts w:ascii="Calibri" w:hAnsi="Calibri" w:cs="Calibri"/>
        </w:rPr>
      </w:pPr>
      <w:r w:rsidRPr="00BC4880">
        <w:rPr>
          <w:rFonts w:ascii="Calibri" w:hAnsi="Calibri" w:cs="Calibri"/>
        </w:rPr>
        <w:t xml:space="preserve">Lack </w:t>
      </w:r>
      <w:r w:rsidR="00267FD4">
        <w:rPr>
          <w:rFonts w:ascii="Calibri" w:hAnsi="Calibri" w:cs="Calibri"/>
        </w:rPr>
        <w:t xml:space="preserve">or insufficiency </w:t>
      </w:r>
      <w:r w:rsidRPr="00BC4880">
        <w:rPr>
          <w:rFonts w:ascii="Calibri" w:hAnsi="Calibri" w:cs="Calibri"/>
        </w:rPr>
        <w:t xml:space="preserve">of interagency data sharing was a key finding of this </w:t>
      </w:r>
      <w:r>
        <w:rPr>
          <w:rFonts w:ascii="Calibri" w:hAnsi="Calibri" w:cs="Calibri"/>
        </w:rPr>
        <w:t>research</w:t>
      </w:r>
      <w:r w:rsidRPr="00BC4880">
        <w:rPr>
          <w:rFonts w:ascii="Calibri" w:hAnsi="Calibri" w:cs="Calibri"/>
        </w:rPr>
        <w:t>. Greater data sharing would enable implementers to assess overall progress towards key targets, and support aid efficiency. Development of digital infrastructure to support this data sharing needs to be a priority action area for the</w:t>
      </w:r>
      <w:r w:rsidR="00D57BEE">
        <w:rPr>
          <w:rFonts w:ascii="Calibri" w:hAnsi="Calibri" w:cs="Calibri"/>
        </w:rPr>
        <w:t xml:space="preserve"> Government of Tonga</w:t>
      </w:r>
      <w:r w:rsidRPr="00BC4880">
        <w:rPr>
          <w:rFonts w:ascii="Calibri" w:hAnsi="Calibri" w:cs="Calibri"/>
        </w:rPr>
        <w:t>. In the interim</w:t>
      </w:r>
      <w:r w:rsidR="001859CD">
        <w:rPr>
          <w:rFonts w:ascii="Calibri" w:hAnsi="Calibri" w:cs="Calibri"/>
        </w:rPr>
        <w:t>,</w:t>
      </w:r>
      <w:r w:rsidRPr="00BC4880">
        <w:rPr>
          <w:rFonts w:ascii="Calibri" w:hAnsi="Calibri" w:cs="Calibri"/>
        </w:rPr>
        <w:t xml:space="preserve"> increased effort by implementers to share data including; project evaluations, community plans</w:t>
      </w:r>
      <w:r w:rsidR="00125DAD">
        <w:rPr>
          <w:rFonts w:ascii="Calibri" w:hAnsi="Calibri" w:cs="Calibri"/>
        </w:rPr>
        <w:t>,</w:t>
      </w:r>
      <w:r w:rsidRPr="00BC4880">
        <w:rPr>
          <w:rFonts w:ascii="Calibri" w:hAnsi="Calibri" w:cs="Calibri"/>
        </w:rPr>
        <w:t xml:space="preserve"> and implementation data</w:t>
      </w:r>
      <w:r w:rsidR="00E9252A">
        <w:rPr>
          <w:rFonts w:ascii="Calibri" w:hAnsi="Calibri" w:cs="Calibri"/>
        </w:rPr>
        <w:t xml:space="preserve"> is required</w:t>
      </w:r>
      <w:r w:rsidRPr="00BC4880">
        <w:rPr>
          <w:rFonts w:ascii="Calibri" w:hAnsi="Calibri" w:cs="Calibri"/>
        </w:rPr>
        <w:t>.</w:t>
      </w:r>
    </w:p>
    <w:p w14:paraId="020115BB" w14:textId="77777777" w:rsidR="00D369CF" w:rsidRPr="0043346B" w:rsidRDefault="00D369CF" w:rsidP="00F27D15">
      <w:pPr>
        <w:rPr>
          <w:rFonts w:ascii="Calibri" w:hAnsi="Calibri" w:cs="Calibri"/>
        </w:rPr>
      </w:pPr>
    </w:p>
    <w:p w14:paraId="032628F1" w14:textId="27D67A28" w:rsidR="003E61FF" w:rsidRPr="00257CBC" w:rsidRDefault="003E61FF" w:rsidP="003E61FF">
      <w:pPr>
        <w:pStyle w:val="BulletPoints"/>
        <w:numPr>
          <w:ilvl w:val="0"/>
          <w:numId w:val="0"/>
        </w:numPr>
        <w:spacing w:after="0"/>
        <w:jc w:val="left"/>
        <w:rPr>
          <w:rFonts w:asciiTheme="minorHAnsi" w:hAnsiTheme="minorHAnsi" w:cstheme="minorHAnsi"/>
          <w:b/>
          <w:color w:val="864EA8" w:themeColor="accent1" w:themeShade="BF"/>
        </w:rPr>
      </w:pPr>
      <w:r>
        <w:rPr>
          <w:rFonts w:asciiTheme="minorHAnsi" w:hAnsiTheme="minorHAnsi" w:cstheme="minorHAnsi"/>
          <w:b/>
          <w:color w:val="864EA8" w:themeColor="accent1" w:themeShade="BF"/>
        </w:rPr>
        <w:t>Recommendations</w:t>
      </w:r>
    </w:p>
    <w:p w14:paraId="1C9FCF05" w14:textId="0EC78CEC" w:rsidR="00267FD4" w:rsidRDefault="00267FD4" w:rsidP="003E61FF">
      <w:pPr>
        <w:rPr>
          <w:rFonts w:asciiTheme="minorHAnsi" w:hAnsiTheme="minorHAnsi" w:cstheme="minorHAnsi"/>
          <w:bCs/>
          <w:color w:val="000000" w:themeColor="text1"/>
          <w:szCs w:val="22"/>
        </w:rPr>
      </w:pPr>
      <w:r w:rsidRPr="00267FD4">
        <w:rPr>
          <w:rFonts w:ascii="Calibri" w:hAnsi="Calibri" w:cs="Calibri"/>
          <w:bCs/>
          <w:color w:val="000000" w:themeColor="text1"/>
          <w:szCs w:val="22"/>
        </w:rPr>
        <w:t>A range of recommendations have been made to MORDI with</w:t>
      </w:r>
      <w:r w:rsidRPr="00267FD4">
        <w:rPr>
          <w:rFonts w:asciiTheme="minorHAnsi" w:hAnsiTheme="minorHAnsi" w:cstheme="minorHAnsi"/>
          <w:bCs/>
          <w:color w:val="000000" w:themeColor="text1"/>
          <w:szCs w:val="22"/>
        </w:rPr>
        <w:t xml:space="preserve"> a view </w:t>
      </w:r>
      <w:r>
        <w:rPr>
          <w:rFonts w:asciiTheme="minorHAnsi" w:hAnsiTheme="minorHAnsi" w:cstheme="minorHAnsi"/>
          <w:bCs/>
          <w:color w:val="000000" w:themeColor="text1"/>
          <w:szCs w:val="22"/>
        </w:rPr>
        <w:t>of</w:t>
      </w:r>
      <w:r w:rsidRPr="00267FD4">
        <w:rPr>
          <w:rFonts w:asciiTheme="minorHAnsi" w:hAnsiTheme="minorHAnsi" w:cstheme="minorHAnsi"/>
          <w:bCs/>
          <w:color w:val="000000" w:themeColor="text1"/>
          <w:szCs w:val="22"/>
        </w:rPr>
        <w:t xml:space="preserve"> maximising the benefits of both existing and future initiatives. These include</w:t>
      </w:r>
      <w:r w:rsidR="002D2F13">
        <w:rPr>
          <w:rFonts w:asciiTheme="minorHAnsi" w:hAnsiTheme="minorHAnsi" w:cstheme="minorHAnsi"/>
          <w:bCs/>
          <w:color w:val="000000" w:themeColor="text1"/>
          <w:szCs w:val="22"/>
        </w:rPr>
        <w:t>:</w:t>
      </w:r>
    </w:p>
    <w:p w14:paraId="7579204F" w14:textId="77777777" w:rsidR="003E61FF" w:rsidRPr="007362AB" w:rsidRDefault="003E61FF" w:rsidP="003E61FF">
      <w:pPr>
        <w:rPr>
          <w:rFonts w:asciiTheme="minorHAnsi" w:hAnsiTheme="minorHAnsi" w:cstheme="minorHAnsi"/>
          <w:b/>
          <w:color w:val="864EA8" w:themeColor="accent1" w:themeShade="BF"/>
          <w:sz w:val="24"/>
        </w:rPr>
      </w:pPr>
    </w:p>
    <w:p w14:paraId="656DC60A" w14:textId="4E55321C" w:rsidR="00107158" w:rsidRPr="00107158" w:rsidRDefault="00C6211C" w:rsidP="00107158">
      <w:pPr>
        <w:pStyle w:val="BulletPoints"/>
        <w:numPr>
          <w:ilvl w:val="0"/>
          <w:numId w:val="23"/>
        </w:numPr>
        <w:jc w:val="left"/>
        <w:rPr>
          <w:rFonts w:ascii="Calibri" w:hAnsi="Calibri" w:cs="Calibri"/>
          <w:b/>
          <w:color w:val="864EA8" w:themeColor="accent1" w:themeShade="BF"/>
          <w:sz w:val="22"/>
          <w:szCs w:val="22"/>
        </w:rPr>
      </w:pPr>
      <w:r w:rsidRPr="00267FD4">
        <w:rPr>
          <w:rFonts w:ascii="Calibri" w:hAnsi="Calibri" w:cs="Calibri"/>
          <w:color w:val="000000" w:themeColor="text1"/>
          <w:sz w:val="22"/>
          <w:szCs w:val="22"/>
        </w:rPr>
        <w:t>E</w:t>
      </w:r>
      <w:r w:rsidR="00F27D15" w:rsidRPr="00267FD4">
        <w:rPr>
          <w:rFonts w:ascii="Calibri" w:hAnsi="Calibri" w:cs="Calibri"/>
          <w:color w:val="000000" w:themeColor="text1"/>
          <w:sz w:val="22"/>
          <w:szCs w:val="22"/>
        </w:rPr>
        <w:t xml:space="preserve">nsure that projects </w:t>
      </w:r>
      <w:r w:rsidR="000E4751" w:rsidRPr="00267FD4">
        <w:rPr>
          <w:rFonts w:ascii="Calibri" w:hAnsi="Calibri" w:cs="Calibri"/>
          <w:color w:val="000000" w:themeColor="text1"/>
          <w:sz w:val="22"/>
          <w:szCs w:val="22"/>
        </w:rPr>
        <w:t xml:space="preserve">aiming </w:t>
      </w:r>
      <w:r w:rsidR="00F27D15" w:rsidRPr="00267FD4">
        <w:rPr>
          <w:rFonts w:ascii="Calibri" w:hAnsi="Calibri" w:cs="Calibri"/>
          <w:color w:val="000000" w:themeColor="text1"/>
          <w:sz w:val="22"/>
          <w:szCs w:val="22"/>
        </w:rPr>
        <w:t>to improve water access</w:t>
      </w:r>
      <w:r w:rsidR="000E4751" w:rsidRPr="00267FD4">
        <w:rPr>
          <w:rFonts w:ascii="Calibri" w:hAnsi="Calibri" w:cs="Calibri"/>
          <w:color w:val="000000" w:themeColor="text1"/>
          <w:sz w:val="22"/>
          <w:szCs w:val="22"/>
        </w:rPr>
        <w:t xml:space="preserve"> have an explicit focus on </w:t>
      </w:r>
      <w:r w:rsidR="00D34FFF" w:rsidRPr="00267FD4">
        <w:rPr>
          <w:rFonts w:ascii="Calibri" w:hAnsi="Calibri" w:cs="Calibri"/>
          <w:color w:val="000000" w:themeColor="text1"/>
          <w:sz w:val="22"/>
          <w:szCs w:val="22"/>
        </w:rPr>
        <w:t xml:space="preserve">practices supporting safe drinking water </w:t>
      </w:r>
      <w:r w:rsidR="00311E7B" w:rsidRPr="00267FD4">
        <w:rPr>
          <w:rFonts w:ascii="Calibri" w:hAnsi="Calibri" w:cs="Calibri"/>
          <w:color w:val="000000" w:themeColor="text1"/>
          <w:sz w:val="22"/>
          <w:szCs w:val="22"/>
        </w:rPr>
        <w:t xml:space="preserve">alongside the delivery of </w:t>
      </w:r>
      <w:r w:rsidR="00311E7B">
        <w:rPr>
          <w:rFonts w:ascii="Calibri" w:hAnsi="Calibri" w:cs="Calibri"/>
          <w:sz w:val="22"/>
          <w:szCs w:val="22"/>
        </w:rPr>
        <w:t>physical resource</w:t>
      </w:r>
      <w:r w:rsidR="00D369CF">
        <w:rPr>
          <w:rFonts w:ascii="Calibri" w:hAnsi="Calibri" w:cs="Calibri"/>
          <w:sz w:val="22"/>
          <w:szCs w:val="22"/>
        </w:rPr>
        <w:t>s</w:t>
      </w:r>
      <w:r w:rsidR="00311E7B">
        <w:rPr>
          <w:rFonts w:ascii="Calibri" w:hAnsi="Calibri" w:cs="Calibri"/>
          <w:sz w:val="22"/>
          <w:szCs w:val="22"/>
        </w:rPr>
        <w:t xml:space="preserve">. </w:t>
      </w:r>
    </w:p>
    <w:p w14:paraId="67F471EA" w14:textId="77777777" w:rsidR="00857C19" w:rsidRDefault="00107158" w:rsidP="00857C19">
      <w:pPr>
        <w:pStyle w:val="ListParagraph"/>
        <w:numPr>
          <w:ilvl w:val="0"/>
          <w:numId w:val="23"/>
        </w:numPr>
        <w:rPr>
          <w:rFonts w:ascii="Calibri" w:hAnsi="Calibri" w:cs="Calibri"/>
        </w:rPr>
      </w:pPr>
      <w:r w:rsidRPr="00834B3F">
        <w:rPr>
          <w:rFonts w:ascii="Calibri" w:hAnsi="Calibri" w:cs="Calibri"/>
        </w:rPr>
        <w:t>Public health education to support system maintenance and water safety practices in communities (including the chlorination of community supplies) is currently challenged by limited capacity in Tonga Public Health. Exp</w:t>
      </w:r>
      <w:r>
        <w:rPr>
          <w:rFonts w:ascii="Calibri" w:hAnsi="Calibri" w:cs="Calibri"/>
        </w:rPr>
        <w:t>l</w:t>
      </w:r>
      <w:r w:rsidRPr="00834B3F">
        <w:rPr>
          <w:rFonts w:ascii="Calibri" w:hAnsi="Calibri" w:cs="Calibri"/>
        </w:rPr>
        <w:t>ore how Village Water Committees may be supported to address this gap</w:t>
      </w:r>
      <w:r>
        <w:rPr>
          <w:rFonts w:ascii="Calibri" w:hAnsi="Calibri" w:cs="Calibri"/>
        </w:rPr>
        <w:t xml:space="preserve">. </w:t>
      </w:r>
    </w:p>
    <w:p w14:paraId="0187E505" w14:textId="77777777" w:rsidR="00857C19" w:rsidRDefault="00857C19" w:rsidP="00857C19">
      <w:pPr>
        <w:pStyle w:val="ListParagraph"/>
        <w:rPr>
          <w:rFonts w:ascii="Calibri" w:hAnsi="Calibri" w:cs="Calibri"/>
        </w:rPr>
      </w:pPr>
    </w:p>
    <w:p w14:paraId="1C2F8C07" w14:textId="7B2CCE69" w:rsidR="007362AB" w:rsidRPr="00857C19" w:rsidRDefault="007362AB" w:rsidP="007362AB">
      <w:pPr>
        <w:pStyle w:val="ListParagraph"/>
        <w:numPr>
          <w:ilvl w:val="0"/>
          <w:numId w:val="23"/>
        </w:numPr>
        <w:rPr>
          <w:rFonts w:ascii="Calibri" w:hAnsi="Calibri" w:cs="Calibri"/>
        </w:rPr>
      </w:pPr>
      <w:r>
        <w:rPr>
          <w:rFonts w:ascii="Calibri" w:hAnsi="Calibri" w:cs="Calibri"/>
        </w:rPr>
        <w:t>Investigate ways to improve the frequency of</w:t>
      </w:r>
      <w:r w:rsidRPr="00857C19">
        <w:rPr>
          <w:rFonts w:ascii="Calibri" w:hAnsi="Calibri" w:cs="Calibri"/>
        </w:rPr>
        <w:t xml:space="preserve"> bacterial water testing of ‘Eua’s water tanks (household and community), to assess water contamination. </w:t>
      </w:r>
      <w:r>
        <w:rPr>
          <w:rFonts w:ascii="Calibri" w:hAnsi="Calibri" w:cs="Calibri"/>
        </w:rPr>
        <w:t>Better data in this area would both  characterise</w:t>
      </w:r>
      <w:r w:rsidRPr="00857C19">
        <w:rPr>
          <w:rFonts w:ascii="Calibri" w:hAnsi="Calibri" w:cs="Calibri"/>
        </w:rPr>
        <w:t xml:space="preserve"> the scale of the</w:t>
      </w:r>
      <w:r>
        <w:rPr>
          <w:rFonts w:ascii="Calibri" w:hAnsi="Calibri" w:cs="Calibri"/>
        </w:rPr>
        <w:t xml:space="preserve"> public health</w:t>
      </w:r>
      <w:r w:rsidRPr="00857C19">
        <w:rPr>
          <w:rFonts w:ascii="Calibri" w:hAnsi="Calibri" w:cs="Calibri"/>
        </w:rPr>
        <w:t xml:space="preserve"> issue and</w:t>
      </w:r>
      <w:r>
        <w:rPr>
          <w:rFonts w:ascii="Calibri" w:hAnsi="Calibri" w:cs="Calibri"/>
        </w:rPr>
        <w:t xml:space="preserve"> serve as </w:t>
      </w:r>
      <w:r w:rsidRPr="00857C19">
        <w:rPr>
          <w:rFonts w:ascii="Calibri" w:hAnsi="Calibri" w:cs="Calibri"/>
        </w:rPr>
        <w:t>a valuable resource for VWCs, and TPH</w:t>
      </w:r>
      <w:r>
        <w:rPr>
          <w:rFonts w:ascii="Calibri" w:hAnsi="Calibri" w:cs="Calibri"/>
        </w:rPr>
        <w:t>,</w:t>
      </w:r>
      <w:r w:rsidRPr="00857C19">
        <w:rPr>
          <w:rFonts w:ascii="Calibri" w:hAnsi="Calibri" w:cs="Calibri"/>
        </w:rPr>
        <w:t xml:space="preserve"> to motivate safe water practices. </w:t>
      </w:r>
    </w:p>
    <w:p w14:paraId="68E63DD4" w14:textId="77777777" w:rsidR="00107158" w:rsidRPr="00857C19" w:rsidRDefault="00107158" w:rsidP="00857C19">
      <w:pPr>
        <w:rPr>
          <w:rFonts w:ascii="Calibri" w:hAnsi="Calibri" w:cs="Calibri"/>
        </w:rPr>
      </w:pPr>
    </w:p>
    <w:p w14:paraId="0D9A8C98" w14:textId="77777777" w:rsidR="00107158" w:rsidRPr="00107158" w:rsidRDefault="00107158" w:rsidP="00107158">
      <w:pPr>
        <w:pStyle w:val="ListParagraph"/>
        <w:numPr>
          <w:ilvl w:val="0"/>
          <w:numId w:val="23"/>
        </w:numPr>
        <w:rPr>
          <w:rFonts w:ascii="Calibri" w:hAnsi="Calibri" w:cs="Calibri"/>
        </w:rPr>
      </w:pPr>
      <w:r>
        <w:rPr>
          <w:rFonts w:ascii="Calibri" w:hAnsi="Calibri" w:cs="Calibri"/>
        </w:rPr>
        <w:t>E</w:t>
      </w:r>
      <w:r w:rsidRPr="00292C59">
        <w:rPr>
          <w:rFonts w:ascii="Calibri" w:hAnsi="Calibri" w:cs="Calibri"/>
        </w:rPr>
        <w:t>ncourag</w:t>
      </w:r>
      <w:r>
        <w:rPr>
          <w:rFonts w:ascii="Calibri" w:hAnsi="Calibri" w:cs="Calibri"/>
        </w:rPr>
        <w:t>e</w:t>
      </w:r>
      <w:r w:rsidRPr="00292C59">
        <w:rPr>
          <w:rFonts w:ascii="Calibri" w:hAnsi="Calibri" w:cs="Calibri"/>
        </w:rPr>
        <w:t xml:space="preserve"> mutual support between V</w:t>
      </w:r>
      <w:r>
        <w:rPr>
          <w:rFonts w:ascii="Calibri" w:hAnsi="Calibri" w:cs="Calibri"/>
        </w:rPr>
        <w:t xml:space="preserve">illage </w:t>
      </w:r>
      <w:r w:rsidRPr="00292C59">
        <w:rPr>
          <w:rFonts w:ascii="Calibri" w:hAnsi="Calibri" w:cs="Calibri"/>
        </w:rPr>
        <w:t>W</w:t>
      </w:r>
      <w:r>
        <w:rPr>
          <w:rFonts w:ascii="Calibri" w:hAnsi="Calibri" w:cs="Calibri"/>
        </w:rPr>
        <w:t xml:space="preserve">ater </w:t>
      </w:r>
      <w:r w:rsidRPr="00292C59">
        <w:rPr>
          <w:rFonts w:ascii="Calibri" w:hAnsi="Calibri" w:cs="Calibri"/>
        </w:rPr>
        <w:t>C</w:t>
      </w:r>
      <w:r>
        <w:rPr>
          <w:rFonts w:ascii="Calibri" w:hAnsi="Calibri" w:cs="Calibri"/>
        </w:rPr>
        <w:t>ommittee</w:t>
      </w:r>
      <w:r w:rsidRPr="00292C59">
        <w:rPr>
          <w:rFonts w:ascii="Calibri" w:hAnsi="Calibri" w:cs="Calibri"/>
        </w:rPr>
        <w:t>s</w:t>
      </w:r>
      <w:r>
        <w:rPr>
          <w:rFonts w:ascii="Calibri" w:hAnsi="Calibri" w:cs="Calibri"/>
        </w:rPr>
        <w:t xml:space="preserve">. Explore how </w:t>
      </w:r>
      <w:r w:rsidRPr="00292C59">
        <w:rPr>
          <w:rFonts w:ascii="Calibri" w:hAnsi="Calibri" w:cs="Calibri"/>
        </w:rPr>
        <w:t xml:space="preserve">collaboration between committees </w:t>
      </w:r>
      <w:r>
        <w:rPr>
          <w:rFonts w:ascii="Calibri" w:hAnsi="Calibri" w:cs="Calibri"/>
        </w:rPr>
        <w:t>may be facilitated to</w:t>
      </w:r>
      <w:r w:rsidRPr="00292C59">
        <w:rPr>
          <w:rFonts w:ascii="Calibri" w:hAnsi="Calibri" w:cs="Calibri"/>
        </w:rPr>
        <w:t xml:space="preserve"> encourage knowledge sharing and greater engagement, </w:t>
      </w:r>
      <w:r>
        <w:rPr>
          <w:rFonts w:ascii="Calibri" w:hAnsi="Calibri" w:cs="Calibri"/>
        </w:rPr>
        <w:t xml:space="preserve">and </w:t>
      </w:r>
      <w:r w:rsidRPr="00292C59">
        <w:rPr>
          <w:rFonts w:ascii="Calibri" w:hAnsi="Calibri" w:cs="Calibri"/>
        </w:rPr>
        <w:t>ultimately strengthen</w:t>
      </w:r>
      <w:r>
        <w:rPr>
          <w:rFonts w:ascii="Calibri" w:hAnsi="Calibri" w:cs="Calibri"/>
        </w:rPr>
        <w:t xml:space="preserve"> </w:t>
      </w:r>
      <w:r w:rsidRPr="00292C59">
        <w:rPr>
          <w:rFonts w:ascii="Calibri" w:hAnsi="Calibri" w:cs="Calibri"/>
        </w:rPr>
        <w:t>capacity.</w:t>
      </w:r>
    </w:p>
    <w:p w14:paraId="20DF7869" w14:textId="77777777" w:rsidR="00F27D15" w:rsidRDefault="00F27D15" w:rsidP="00F27D15">
      <w:pPr>
        <w:rPr>
          <w:rFonts w:ascii="Calibri" w:hAnsi="Calibri" w:cs="Calibri"/>
        </w:rPr>
      </w:pPr>
    </w:p>
    <w:p w14:paraId="1DEDCC35" w14:textId="4EBF81A0" w:rsidR="007362AB" w:rsidRDefault="007362AB" w:rsidP="001E21A1">
      <w:pPr>
        <w:pStyle w:val="ListParagraph"/>
        <w:numPr>
          <w:ilvl w:val="0"/>
          <w:numId w:val="23"/>
        </w:numPr>
        <w:rPr>
          <w:rFonts w:ascii="Calibri" w:hAnsi="Calibri" w:cs="Calibri"/>
        </w:rPr>
      </w:pPr>
      <w:r w:rsidRPr="001E21A1">
        <w:rPr>
          <w:rFonts w:ascii="Calibri" w:hAnsi="Calibri" w:cs="Calibri"/>
        </w:rPr>
        <w:t>Continue to support and develop the use of Community Development Plans (CDPs).</w:t>
      </w:r>
      <w:r w:rsidR="001E21A1">
        <w:rPr>
          <w:rFonts w:ascii="Calibri" w:hAnsi="Calibri" w:cs="Calibri"/>
        </w:rPr>
        <w:t xml:space="preserve"> </w:t>
      </w:r>
      <w:r w:rsidR="001E21A1" w:rsidRPr="00292C59">
        <w:rPr>
          <w:rFonts w:ascii="Calibri" w:hAnsi="Calibri" w:cs="Calibri"/>
        </w:rPr>
        <w:t>This research demonstrate</w:t>
      </w:r>
      <w:r w:rsidR="001E21A1">
        <w:rPr>
          <w:rFonts w:ascii="Calibri" w:hAnsi="Calibri" w:cs="Calibri"/>
        </w:rPr>
        <w:t>d</w:t>
      </w:r>
      <w:r w:rsidR="001E21A1" w:rsidRPr="00292C59">
        <w:rPr>
          <w:rFonts w:ascii="Calibri" w:hAnsi="Calibri" w:cs="Calibri"/>
        </w:rPr>
        <w:t xml:space="preserve"> the utility of </w:t>
      </w:r>
      <w:r w:rsidR="001E21A1">
        <w:rPr>
          <w:rFonts w:ascii="Calibri" w:hAnsi="Calibri" w:cs="Calibri"/>
        </w:rPr>
        <w:t>CDPs</w:t>
      </w:r>
      <w:r w:rsidR="001E21A1" w:rsidRPr="00292C59">
        <w:rPr>
          <w:rFonts w:ascii="Calibri" w:hAnsi="Calibri" w:cs="Calibri"/>
        </w:rPr>
        <w:t xml:space="preserve"> for research and evaluation.</w:t>
      </w:r>
      <w:r w:rsidR="001E21A1">
        <w:rPr>
          <w:rFonts w:ascii="Calibri" w:hAnsi="Calibri" w:cs="Calibri"/>
        </w:rPr>
        <w:t xml:space="preserve"> </w:t>
      </w:r>
      <w:r w:rsidRPr="001E21A1">
        <w:rPr>
          <w:rFonts w:ascii="Calibri" w:hAnsi="Calibri" w:cs="Calibri"/>
        </w:rPr>
        <w:t xml:space="preserve">Developed through inclusive co-design processes, CDPs are a representative reflection of community priorities and perspectives. Therefore, to support community-centred development, organisations </w:t>
      </w:r>
      <w:r w:rsidRPr="001E21A1">
        <w:rPr>
          <w:rFonts w:ascii="Calibri" w:hAnsi="Calibri" w:cs="Calibri"/>
        </w:rPr>
        <w:t>should be encouraged to utilise these plans for project evaluation, and development research</w:t>
      </w:r>
      <w:r w:rsidR="001E21A1">
        <w:rPr>
          <w:rFonts w:ascii="Calibri" w:hAnsi="Calibri" w:cs="Calibri"/>
        </w:rPr>
        <w:t>.</w:t>
      </w:r>
    </w:p>
    <w:p w14:paraId="7569547F" w14:textId="77777777" w:rsidR="001E21A1" w:rsidRPr="001E21A1" w:rsidRDefault="001E21A1" w:rsidP="001E21A1">
      <w:pPr>
        <w:rPr>
          <w:rFonts w:ascii="Calibri" w:hAnsi="Calibri" w:cs="Calibri"/>
        </w:rPr>
      </w:pPr>
    </w:p>
    <w:p w14:paraId="654439CC" w14:textId="1E0CCAB8" w:rsidR="004B38CB" w:rsidRPr="00BB0656" w:rsidRDefault="00F27D15" w:rsidP="00BB0656">
      <w:pPr>
        <w:rPr>
          <w:rFonts w:ascii="Calibri" w:hAnsi="Calibri" w:cs="Calibri"/>
        </w:rPr>
      </w:pPr>
      <w:r w:rsidRPr="002609DA">
        <w:rPr>
          <w:rFonts w:asciiTheme="minorHAnsi" w:hAnsiTheme="minorHAnsi" w:cstheme="minorHAnsi"/>
          <w:b/>
          <w:color w:val="864EA8" w:themeColor="accent1" w:themeShade="BF"/>
        </w:rPr>
        <w:t xml:space="preserve">Limitations and Further Research </w:t>
      </w:r>
    </w:p>
    <w:p w14:paraId="0583CF6E" w14:textId="54416F46" w:rsidR="004B38CB" w:rsidRDefault="00F27D15" w:rsidP="00F27D15">
      <w:pPr>
        <w:pStyle w:val="BulletPoints"/>
        <w:numPr>
          <w:ilvl w:val="0"/>
          <w:numId w:val="0"/>
        </w:numPr>
        <w:spacing w:after="0"/>
        <w:jc w:val="left"/>
        <w:rPr>
          <w:rFonts w:ascii="Calibri" w:hAnsi="Calibri" w:cs="Calibri"/>
          <w:iCs/>
          <w:sz w:val="22"/>
          <w:szCs w:val="22"/>
        </w:rPr>
      </w:pPr>
      <w:r w:rsidRPr="00673D9A">
        <w:rPr>
          <w:rFonts w:ascii="Calibri" w:hAnsi="Calibri" w:cs="Calibri"/>
          <w:iCs/>
          <w:sz w:val="22"/>
          <w:szCs w:val="22"/>
        </w:rPr>
        <w:t xml:space="preserve">Due to a lack of research to evaluate water projects in Tonga and specifically on ‘Eua, this research </w:t>
      </w:r>
      <w:r w:rsidR="00A93CBA">
        <w:rPr>
          <w:rFonts w:ascii="Calibri" w:hAnsi="Calibri" w:cs="Calibri"/>
          <w:iCs/>
          <w:sz w:val="22"/>
          <w:szCs w:val="22"/>
        </w:rPr>
        <w:t>took a broad focus, identifying gaps and opportunities across the water sector.</w:t>
      </w:r>
      <w:r w:rsidR="00D825EB">
        <w:rPr>
          <w:rFonts w:ascii="Calibri" w:hAnsi="Calibri" w:cs="Calibri"/>
          <w:iCs/>
          <w:sz w:val="22"/>
          <w:szCs w:val="22"/>
        </w:rPr>
        <w:t xml:space="preserve"> </w:t>
      </w:r>
      <w:r w:rsidR="004B38CB">
        <w:rPr>
          <w:rFonts w:ascii="Calibri" w:hAnsi="Calibri" w:cs="Calibri"/>
          <w:iCs/>
          <w:sz w:val="22"/>
          <w:szCs w:val="22"/>
        </w:rPr>
        <w:t xml:space="preserve">Future research should focus on </w:t>
      </w:r>
      <w:r w:rsidR="00A93CBA">
        <w:rPr>
          <w:rFonts w:ascii="Calibri" w:hAnsi="Calibri" w:cs="Calibri"/>
          <w:iCs/>
          <w:sz w:val="22"/>
          <w:szCs w:val="22"/>
        </w:rPr>
        <w:t>a</w:t>
      </w:r>
      <w:r w:rsidR="00484794">
        <w:rPr>
          <w:rFonts w:ascii="Calibri" w:hAnsi="Calibri" w:cs="Calibri"/>
          <w:iCs/>
          <w:sz w:val="22"/>
          <w:szCs w:val="22"/>
        </w:rPr>
        <w:t>ss</w:t>
      </w:r>
      <w:r w:rsidR="00A93CBA">
        <w:rPr>
          <w:rFonts w:ascii="Calibri" w:hAnsi="Calibri" w:cs="Calibri"/>
          <w:iCs/>
          <w:sz w:val="22"/>
          <w:szCs w:val="22"/>
        </w:rPr>
        <w:t>essing</w:t>
      </w:r>
      <w:r w:rsidR="004B38CB">
        <w:rPr>
          <w:rFonts w:ascii="Calibri" w:hAnsi="Calibri" w:cs="Calibri"/>
          <w:iCs/>
          <w:sz w:val="22"/>
          <w:szCs w:val="22"/>
        </w:rPr>
        <w:t xml:space="preserve"> </w:t>
      </w:r>
      <w:r w:rsidR="00023BAF">
        <w:rPr>
          <w:rFonts w:ascii="Calibri" w:hAnsi="Calibri" w:cs="Calibri"/>
          <w:iCs/>
          <w:sz w:val="22"/>
          <w:szCs w:val="22"/>
        </w:rPr>
        <w:t xml:space="preserve">and </w:t>
      </w:r>
      <w:r w:rsidR="006C4846">
        <w:rPr>
          <w:rFonts w:ascii="Calibri" w:hAnsi="Calibri" w:cs="Calibri"/>
          <w:iCs/>
          <w:sz w:val="22"/>
          <w:szCs w:val="22"/>
        </w:rPr>
        <w:t>refining</w:t>
      </w:r>
      <w:r w:rsidR="00023BAF">
        <w:rPr>
          <w:rFonts w:ascii="Calibri" w:hAnsi="Calibri" w:cs="Calibri"/>
          <w:iCs/>
          <w:sz w:val="22"/>
          <w:szCs w:val="22"/>
        </w:rPr>
        <w:t xml:space="preserve"> </w:t>
      </w:r>
      <w:r w:rsidR="004B38CB">
        <w:rPr>
          <w:rFonts w:ascii="Calibri" w:hAnsi="Calibri" w:cs="Calibri"/>
          <w:iCs/>
          <w:sz w:val="22"/>
          <w:szCs w:val="22"/>
        </w:rPr>
        <w:t xml:space="preserve">solutions to </w:t>
      </w:r>
      <w:r w:rsidR="00A93CBA">
        <w:rPr>
          <w:rFonts w:ascii="Calibri" w:hAnsi="Calibri" w:cs="Calibri"/>
          <w:iCs/>
          <w:sz w:val="22"/>
          <w:szCs w:val="22"/>
        </w:rPr>
        <w:t>these more specific</w:t>
      </w:r>
      <w:r w:rsidR="004B38CB">
        <w:rPr>
          <w:rFonts w:ascii="Calibri" w:hAnsi="Calibri" w:cs="Calibri"/>
          <w:iCs/>
          <w:sz w:val="22"/>
          <w:szCs w:val="22"/>
        </w:rPr>
        <w:t xml:space="preserve"> gaps and opportunities to improve approaches to water development.  </w:t>
      </w:r>
    </w:p>
    <w:p w14:paraId="2D36EC63" w14:textId="77777777" w:rsidR="00FB44FB" w:rsidRDefault="00FB44FB" w:rsidP="00F27D15">
      <w:pPr>
        <w:pStyle w:val="BulletPoints"/>
        <w:numPr>
          <w:ilvl w:val="0"/>
          <w:numId w:val="0"/>
        </w:numPr>
        <w:spacing w:after="0"/>
        <w:jc w:val="left"/>
        <w:rPr>
          <w:rFonts w:ascii="Calibri" w:hAnsi="Calibri" w:cs="Calibri"/>
          <w:iCs/>
          <w:sz w:val="22"/>
          <w:szCs w:val="22"/>
        </w:rPr>
      </w:pPr>
    </w:p>
    <w:p w14:paraId="1E11D76A" w14:textId="2051CF0D" w:rsidR="004B38CB" w:rsidRDefault="004B38CB" w:rsidP="00F27D15">
      <w:pPr>
        <w:pStyle w:val="BulletPoints"/>
        <w:numPr>
          <w:ilvl w:val="0"/>
          <w:numId w:val="0"/>
        </w:numPr>
        <w:spacing w:after="0"/>
        <w:jc w:val="left"/>
        <w:rPr>
          <w:rFonts w:ascii="Calibri" w:hAnsi="Calibri" w:cs="Calibri"/>
          <w:iCs/>
          <w:sz w:val="22"/>
          <w:szCs w:val="22"/>
        </w:rPr>
      </w:pPr>
      <w:r>
        <w:rPr>
          <w:rFonts w:ascii="Calibri" w:hAnsi="Calibri" w:cs="Calibri"/>
          <w:iCs/>
          <w:sz w:val="22"/>
          <w:szCs w:val="22"/>
        </w:rPr>
        <w:t xml:space="preserve">Importantly this research was based in ‘Eua, centred around their water system and the development priorities of their communities. While it seems likely that findings </w:t>
      </w:r>
      <w:r w:rsidR="00D6440C">
        <w:rPr>
          <w:rFonts w:ascii="Calibri" w:hAnsi="Calibri" w:cs="Calibri"/>
          <w:iCs/>
          <w:sz w:val="22"/>
          <w:szCs w:val="22"/>
        </w:rPr>
        <w:t>will</w:t>
      </w:r>
      <w:r>
        <w:rPr>
          <w:rFonts w:ascii="Calibri" w:hAnsi="Calibri" w:cs="Calibri"/>
          <w:iCs/>
          <w:sz w:val="22"/>
          <w:szCs w:val="22"/>
        </w:rPr>
        <w:t xml:space="preserve"> be relevant across Tonga, further research to delineate those findings that are specific to ‘Eua’s context is encouraged. </w:t>
      </w:r>
    </w:p>
    <w:p w14:paraId="301203B9" w14:textId="77777777" w:rsidR="00F27D15" w:rsidRPr="00673D9A" w:rsidRDefault="00F27D15" w:rsidP="00F27D15">
      <w:pPr>
        <w:pStyle w:val="BulletPoints"/>
        <w:numPr>
          <w:ilvl w:val="0"/>
          <w:numId w:val="0"/>
        </w:numPr>
        <w:spacing w:after="0"/>
        <w:jc w:val="left"/>
        <w:rPr>
          <w:rFonts w:ascii="Calibri" w:hAnsi="Calibri" w:cs="Calibri"/>
          <w:iCs/>
          <w:sz w:val="22"/>
          <w:szCs w:val="22"/>
        </w:rPr>
      </w:pPr>
    </w:p>
    <w:p w14:paraId="3E259A76" w14:textId="416B20E2" w:rsidR="00F27D15" w:rsidRPr="00673D9A" w:rsidRDefault="00F27D15" w:rsidP="00F27D15">
      <w:pPr>
        <w:pStyle w:val="BulletPoints"/>
        <w:numPr>
          <w:ilvl w:val="0"/>
          <w:numId w:val="0"/>
        </w:numPr>
        <w:spacing w:after="0"/>
        <w:jc w:val="left"/>
        <w:rPr>
          <w:rFonts w:ascii="Calibri" w:hAnsi="Calibri" w:cs="Calibri"/>
          <w:iCs/>
          <w:sz w:val="22"/>
          <w:szCs w:val="22"/>
        </w:rPr>
      </w:pPr>
      <w:r w:rsidRPr="00673D9A">
        <w:rPr>
          <w:rFonts w:ascii="Calibri" w:hAnsi="Calibri" w:cs="Calibri"/>
          <w:iCs/>
          <w:sz w:val="22"/>
          <w:szCs w:val="22"/>
        </w:rPr>
        <w:t xml:space="preserve">Specifically </w:t>
      </w:r>
      <w:r w:rsidR="00F4178D">
        <w:rPr>
          <w:rFonts w:ascii="Calibri" w:hAnsi="Calibri" w:cs="Calibri"/>
          <w:iCs/>
          <w:sz w:val="22"/>
          <w:szCs w:val="22"/>
        </w:rPr>
        <w:t>three</w:t>
      </w:r>
      <w:r w:rsidRPr="00673D9A">
        <w:rPr>
          <w:rFonts w:ascii="Calibri" w:hAnsi="Calibri" w:cs="Calibri"/>
          <w:iCs/>
          <w:sz w:val="22"/>
          <w:szCs w:val="22"/>
        </w:rPr>
        <w:t xml:space="preserve"> areas have been identified for further research: </w:t>
      </w:r>
    </w:p>
    <w:p w14:paraId="03A5C3AA" w14:textId="77777777" w:rsidR="00F27D15" w:rsidRPr="00673D9A" w:rsidRDefault="00F27D15" w:rsidP="00F27D15">
      <w:pPr>
        <w:pStyle w:val="BulletPoints"/>
        <w:numPr>
          <w:ilvl w:val="0"/>
          <w:numId w:val="0"/>
        </w:numPr>
        <w:spacing w:after="0"/>
        <w:jc w:val="left"/>
        <w:rPr>
          <w:rFonts w:ascii="Calibri" w:hAnsi="Calibri" w:cs="Calibri"/>
          <w:i/>
          <w:color w:val="800080"/>
          <w:sz w:val="22"/>
          <w:szCs w:val="22"/>
        </w:rPr>
      </w:pPr>
    </w:p>
    <w:p w14:paraId="094FF9BF" w14:textId="0030AF69" w:rsidR="00F27D15" w:rsidRPr="004C12F7" w:rsidRDefault="00F27D15" w:rsidP="00F27D15">
      <w:pPr>
        <w:pStyle w:val="ListParagraph"/>
        <w:numPr>
          <w:ilvl w:val="0"/>
          <w:numId w:val="24"/>
        </w:numPr>
        <w:spacing w:line="276" w:lineRule="auto"/>
        <w:rPr>
          <w:rFonts w:ascii="Calibri" w:hAnsi="Calibri" w:cs="Calibri"/>
        </w:rPr>
      </w:pPr>
      <w:r>
        <w:rPr>
          <w:rFonts w:ascii="Calibri" w:hAnsi="Calibri" w:cs="Calibri"/>
          <w:szCs w:val="22"/>
        </w:rPr>
        <w:t>W</w:t>
      </w:r>
      <w:r w:rsidRPr="004C12F7">
        <w:rPr>
          <w:rFonts w:ascii="Calibri" w:hAnsi="Calibri" w:cs="Calibri"/>
          <w:szCs w:val="22"/>
        </w:rPr>
        <w:t>ater conservation</w:t>
      </w:r>
      <w:r w:rsidR="000137BE">
        <w:rPr>
          <w:rFonts w:ascii="Calibri" w:hAnsi="Calibri" w:cs="Calibri"/>
          <w:szCs w:val="22"/>
        </w:rPr>
        <w:t xml:space="preserve"> </w:t>
      </w:r>
      <w:r w:rsidRPr="004C12F7">
        <w:rPr>
          <w:rFonts w:ascii="Calibri" w:hAnsi="Calibri" w:cs="Calibri"/>
          <w:szCs w:val="22"/>
        </w:rPr>
        <w:t xml:space="preserve">is an emerging topic on ‘Eua as water becomes more available. Current water use data indicates </w:t>
      </w:r>
      <w:r w:rsidR="002609DA">
        <w:rPr>
          <w:rFonts w:ascii="Calibri" w:hAnsi="Calibri" w:cs="Calibri"/>
          <w:szCs w:val="22"/>
        </w:rPr>
        <w:t xml:space="preserve">that </w:t>
      </w:r>
      <w:r w:rsidRPr="004C12F7">
        <w:rPr>
          <w:rFonts w:ascii="Calibri" w:hAnsi="Calibri" w:cs="Calibri"/>
          <w:szCs w:val="22"/>
        </w:rPr>
        <w:t xml:space="preserve">significant volumes are being </w:t>
      </w:r>
      <w:r>
        <w:rPr>
          <w:rFonts w:ascii="Calibri" w:hAnsi="Calibri" w:cs="Calibri"/>
          <w:szCs w:val="22"/>
        </w:rPr>
        <w:t>drawn from the reticulated supply</w:t>
      </w:r>
      <w:r w:rsidRPr="004C12F7">
        <w:rPr>
          <w:rFonts w:ascii="Calibri" w:hAnsi="Calibri" w:cs="Calibri"/>
          <w:szCs w:val="22"/>
        </w:rPr>
        <w:t xml:space="preserve">. </w:t>
      </w:r>
      <w:r w:rsidRPr="004C12F7">
        <w:rPr>
          <w:rFonts w:ascii="Calibri" w:hAnsi="Calibri" w:cs="Calibri"/>
        </w:rPr>
        <w:t xml:space="preserve">Analysis of water usage </w:t>
      </w:r>
      <w:r w:rsidR="00D6440C">
        <w:rPr>
          <w:rFonts w:ascii="Calibri" w:hAnsi="Calibri" w:cs="Calibri"/>
        </w:rPr>
        <w:t>is encouraged. This should include</w:t>
      </w:r>
      <w:r w:rsidRPr="004C12F7">
        <w:rPr>
          <w:rFonts w:ascii="Calibri" w:hAnsi="Calibri" w:cs="Calibri"/>
        </w:rPr>
        <w:t xml:space="preserve"> </w:t>
      </w:r>
      <w:r w:rsidR="0095394D">
        <w:rPr>
          <w:rFonts w:ascii="Calibri" w:hAnsi="Calibri" w:cs="Calibri"/>
        </w:rPr>
        <w:t>comparison</w:t>
      </w:r>
      <w:r w:rsidR="001E58AF">
        <w:rPr>
          <w:rFonts w:ascii="Calibri" w:hAnsi="Calibri" w:cs="Calibri"/>
        </w:rPr>
        <w:t>s</w:t>
      </w:r>
      <w:r w:rsidR="0095394D">
        <w:rPr>
          <w:rFonts w:ascii="Calibri" w:hAnsi="Calibri" w:cs="Calibri"/>
        </w:rPr>
        <w:t xml:space="preserve"> of </w:t>
      </w:r>
      <w:r w:rsidRPr="004C12F7">
        <w:rPr>
          <w:rFonts w:ascii="Calibri" w:hAnsi="Calibri" w:cs="Calibri"/>
        </w:rPr>
        <w:t xml:space="preserve">household meters </w:t>
      </w:r>
      <w:r w:rsidR="0095394D">
        <w:rPr>
          <w:rFonts w:ascii="Calibri" w:hAnsi="Calibri" w:cs="Calibri"/>
        </w:rPr>
        <w:t>and</w:t>
      </w:r>
      <w:r w:rsidRPr="004C12F7">
        <w:rPr>
          <w:rFonts w:ascii="Calibri" w:hAnsi="Calibri" w:cs="Calibri"/>
        </w:rPr>
        <w:t xml:space="preserve"> water plant output </w:t>
      </w:r>
      <w:r w:rsidR="00D6440C">
        <w:rPr>
          <w:rFonts w:ascii="Calibri" w:hAnsi="Calibri" w:cs="Calibri"/>
        </w:rPr>
        <w:t>to</w:t>
      </w:r>
      <w:r w:rsidRPr="004C12F7">
        <w:rPr>
          <w:rFonts w:ascii="Calibri" w:hAnsi="Calibri" w:cs="Calibri"/>
        </w:rPr>
        <w:t xml:space="preserve"> indicate whether this volume is linked to true household use or network loss</w:t>
      </w:r>
      <w:r>
        <w:rPr>
          <w:rFonts w:ascii="Calibri" w:hAnsi="Calibri" w:cs="Calibri"/>
        </w:rPr>
        <w:t>,</w:t>
      </w:r>
      <w:r w:rsidRPr="004C12F7">
        <w:rPr>
          <w:rFonts w:ascii="Calibri" w:hAnsi="Calibri" w:cs="Calibri"/>
        </w:rPr>
        <w:t xml:space="preserve"> enabling </w:t>
      </w:r>
      <w:r w:rsidR="008F6251">
        <w:rPr>
          <w:rFonts w:ascii="Calibri" w:hAnsi="Calibri" w:cs="Calibri"/>
        </w:rPr>
        <w:t xml:space="preserve">appropriate </w:t>
      </w:r>
      <w:r w:rsidRPr="004C12F7">
        <w:rPr>
          <w:rFonts w:ascii="Calibri" w:hAnsi="Calibri" w:cs="Calibri"/>
        </w:rPr>
        <w:t>remediation steps to be determined.</w:t>
      </w:r>
    </w:p>
    <w:p w14:paraId="5C2CD593" w14:textId="77777777" w:rsidR="00F27D15" w:rsidRPr="00870B10" w:rsidRDefault="00F27D15" w:rsidP="00F27D15">
      <w:pPr>
        <w:pStyle w:val="ListParagraph"/>
        <w:spacing w:line="276" w:lineRule="auto"/>
        <w:rPr>
          <w:rFonts w:ascii="Calibri" w:hAnsi="Calibri" w:cs="Calibri"/>
        </w:rPr>
      </w:pPr>
    </w:p>
    <w:p w14:paraId="3F0A434A" w14:textId="034169FC" w:rsidR="00F27D15" w:rsidRPr="00CC1E70" w:rsidRDefault="00107158" w:rsidP="00F27D15">
      <w:pPr>
        <w:pStyle w:val="ListParagraph"/>
        <w:numPr>
          <w:ilvl w:val="0"/>
          <w:numId w:val="24"/>
        </w:numPr>
        <w:spacing w:line="276" w:lineRule="auto"/>
        <w:rPr>
          <w:rFonts w:ascii="Calibri" w:hAnsi="Calibri" w:cs="Calibri"/>
        </w:rPr>
      </w:pPr>
      <w:r>
        <w:rPr>
          <w:rFonts w:ascii="Calibri" w:hAnsi="Calibri" w:cs="Calibri"/>
        </w:rPr>
        <w:t>Currently</w:t>
      </w:r>
      <w:r w:rsidR="00DB1209">
        <w:rPr>
          <w:rFonts w:ascii="Calibri" w:hAnsi="Calibri" w:cs="Calibri"/>
        </w:rPr>
        <w:t xml:space="preserve">, </w:t>
      </w:r>
      <w:r>
        <w:rPr>
          <w:rFonts w:ascii="Calibri" w:hAnsi="Calibri" w:cs="Calibri"/>
        </w:rPr>
        <w:t>lack of interagency data sharing limits aid efficiency</w:t>
      </w:r>
      <w:r w:rsidRPr="00BC4880">
        <w:rPr>
          <w:rFonts w:ascii="Calibri" w:hAnsi="Calibri" w:cs="Calibri"/>
        </w:rPr>
        <w:t>.</w:t>
      </w:r>
      <w:r>
        <w:rPr>
          <w:rFonts w:ascii="Calibri" w:hAnsi="Calibri" w:cs="Calibri"/>
        </w:rPr>
        <w:t xml:space="preserve"> </w:t>
      </w:r>
      <w:r w:rsidR="00F27D15">
        <w:rPr>
          <w:rFonts w:ascii="Calibri" w:hAnsi="Calibri" w:cs="Calibri"/>
        </w:rPr>
        <w:t>Research to support</w:t>
      </w:r>
      <w:r w:rsidR="00F27D15" w:rsidRPr="00BC4880">
        <w:rPr>
          <w:rFonts w:ascii="Calibri" w:hAnsi="Calibri" w:cs="Calibri"/>
        </w:rPr>
        <w:t xml:space="preserve"> </w:t>
      </w:r>
      <w:r w:rsidR="00F27D15">
        <w:rPr>
          <w:rFonts w:ascii="Calibri" w:hAnsi="Calibri" w:cs="Calibri"/>
        </w:rPr>
        <w:t>the d</w:t>
      </w:r>
      <w:r w:rsidR="00F27D15" w:rsidRPr="00BC4880">
        <w:rPr>
          <w:rFonts w:ascii="Calibri" w:hAnsi="Calibri" w:cs="Calibri"/>
        </w:rPr>
        <w:t xml:space="preserve">evelopment of </w:t>
      </w:r>
      <w:r w:rsidR="00F27D15">
        <w:rPr>
          <w:rFonts w:ascii="Calibri" w:hAnsi="Calibri" w:cs="Calibri"/>
        </w:rPr>
        <w:t xml:space="preserve">effective </w:t>
      </w:r>
      <w:r w:rsidR="00F27D15" w:rsidRPr="00BC4880">
        <w:rPr>
          <w:rFonts w:ascii="Calibri" w:hAnsi="Calibri" w:cs="Calibri"/>
        </w:rPr>
        <w:t>digital</w:t>
      </w:r>
      <w:r w:rsidR="003E58CE">
        <w:rPr>
          <w:rFonts w:ascii="Calibri" w:hAnsi="Calibri" w:cs="Calibri"/>
        </w:rPr>
        <w:t xml:space="preserve"> </w:t>
      </w:r>
      <w:r w:rsidR="00F27D15" w:rsidRPr="00BC4880">
        <w:rPr>
          <w:rFonts w:ascii="Calibri" w:hAnsi="Calibri" w:cs="Calibri"/>
        </w:rPr>
        <w:t>infrastructure</w:t>
      </w:r>
      <w:r w:rsidR="000137BE">
        <w:rPr>
          <w:rFonts w:ascii="Calibri" w:hAnsi="Calibri" w:cs="Calibri"/>
        </w:rPr>
        <w:t>,</w:t>
      </w:r>
      <w:r w:rsidR="00F27D15" w:rsidRPr="00BC4880">
        <w:rPr>
          <w:rFonts w:ascii="Calibri" w:hAnsi="Calibri" w:cs="Calibri"/>
        </w:rPr>
        <w:t xml:space="preserve"> </w:t>
      </w:r>
      <w:r w:rsidR="00F27D15">
        <w:rPr>
          <w:rFonts w:ascii="Calibri" w:hAnsi="Calibri" w:cs="Calibri"/>
        </w:rPr>
        <w:t xml:space="preserve">and processes </w:t>
      </w:r>
      <w:r w:rsidR="00F27D15" w:rsidRPr="00BC4880">
        <w:rPr>
          <w:rFonts w:ascii="Calibri" w:hAnsi="Calibri" w:cs="Calibri"/>
        </w:rPr>
        <w:t xml:space="preserve">to </w:t>
      </w:r>
      <w:r w:rsidR="00F27D15">
        <w:rPr>
          <w:rFonts w:ascii="Calibri" w:hAnsi="Calibri" w:cs="Calibri"/>
        </w:rPr>
        <w:t>enable greater</w:t>
      </w:r>
      <w:r w:rsidR="00F27D15" w:rsidRPr="00BC4880">
        <w:rPr>
          <w:rFonts w:ascii="Calibri" w:hAnsi="Calibri" w:cs="Calibri"/>
        </w:rPr>
        <w:t xml:space="preserve"> data sharing </w:t>
      </w:r>
      <w:r w:rsidR="00F27D15">
        <w:rPr>
          <w:rFonts w:ascii="Calibri" w:hAnsi="Calibri" w:cs="Calibri"/>
        </w:rPr>
        <w:t>and shared insights</w:t>
      </w:r>
      <w:r w:rsidR="0095394D">
        <w:rPr>
          <w:rFonts w:ascii="Calibri" w:hAnsi="Calibri" w:cs="Calibri"/>
        </w:rPr>
        <w:t>,</w:t>
      </w:r>
      <w:r w:rsidR="00F27D15">
        <w:rPr>
          <w:rFonts w:ascii="Calibri" w:hAnsi="Calibri" w:cs="Calibri"/>
        </w:rPr>
        <w:t xml:space="preserve"> would contribute to more effective, </w:t>
      </w:r>
      <w:r w:rsidR="00F27D15" w:rsidRPr="00CC1E70">
        <w:rPr>
          <w:rFonts w:ascii="Calibri" w:hAnsi="Calibri" w:cs="Calibri"/>
        </w:rPr>
        <w:t>coordinated efforts towards SDG6 in Tonga.</w:t>
      </w:r>
      <w:r w:rsidR="00DB2A3C" w:rsidRPr="00CC1E70">
        <w:rPr>
          <w:rFonts w:ascii="Calibri" w:hAnsi="Calibri" w:cs="Calibri"/>
        </w:rPr>
        <w:t xml:space="preserve"> </w:t>
      </w:r>
    </w:p>
    <w:p w14:paraId="738DDC3E" w14:textId="77777777" w:rsidR="00F4178D" w:rsidRPr="00CC1E70" w:rsidRDefault="00F4178D" w:rsidP="00F4178D">
      <w:pPr>
        <w:pStyle w:val="ListParagraph"/>
        <w:rPr>
          <w:rFonts w:ascii="Calibri" w:hAnsi="Calibri" w:cs="Calibri"/>
        </w:rPr>
      </w:pPr>
    </w:p>
    <w:p w14:paraId="3C325FB1" w14:textId="3BF535AC" w:rsidR="00F4178D" w:rsidRPr="00CC1E70" w:rsidRDefault="00965976" w:rsidP="00F27D15">
      <w:pPr>
        <w:pStyle w:val="ListParagraph"/>
        <w:numPr>
          <w:ilvl w:val="0"/>
          <w:numId w:val="24"/>
        </w:numPr>
        <w:spacing w:line="276" w:lineRule="auto"/>
        <w:rPr>
          <w:rFonts w:ascii="Calibri" w:hAnsi="Calibri" w:cs="Calibri"/>
        </w:rPr>
      </w:pPr>
      <w:r w:rsidRPr="00CC1E70">
        <w:rPr>
          <w:rFonts w:ascii="Calibri" w:hAnsi="Calibri" w:cs="Calibri"/>
        </w:rPr>
        <w:t xml:space="preserve">CDPs </w:t>
      </w:r>
      <w:r w:rsidR="00F831AD" w:rsidRPr="00CC1E70">
        <w:rPr>
          <w:rFonts w:ascii="Calibri" w:hAnsi="Calibri" w:cs="Calibri"/>
        </w:rPr>
        <w:t xml:space="preserve">have significant capacity </w:t>
      </w:r>
      <w:r w:rsidRPr="00CC1E70">
        <w:rPr>
          <w:rFonts w:ascii="Calibri" w:hAnsi="Calibri" w:cs="Calibri"/>
        </w:rPr>
        <w:t xml:space="preserve">as a source of data for </w:t>
      </w:r>
      <w:r w:rsidR="00F831AD" w:rsidRPr="00CC1E70">
        <w:rPr>
          <w:rFonts w:ascii="Calibri" w:hAnsi="Calibri" w:cs="Calibri"/>
        </w:rPr>
        <w:t xml:space="preserve">community-based </w:t>
      </w:r>
      <w:r w:rsidRPr="00CC1E70">
        <w:rPr>
          <w:rFonts w:ascii="Calibri" w:hAnsi="Calibri" w:cs="Calibri"/>
        </w:rPr>
        <w:t>research</w:t>
      </w:r>
      <w:r w:rsidR="00F831AD" w:rsidRPr="00CC1E70">
        <w:rPr>
          <w:rFonts w:ascii="Calibri" w:hAnsi="Calibri" w:cs="Calibri"/>
        </w:rPr>
        <w:t>.</w:t>
      </w:r>
      <w:r w:rsidRPr="00CC1E70">
        <w:rPr>
          <w:rFonts w:ascii="Calibri" w:hAnsi="Calibri" w:cs="Calibri"/>
        </w:rPr>
        <w:t xml:space="preserve"> CDPs from other Islands should be assessed to </w:t>
      </w:r>
      <w:r w:rsidR="00F4178D" w:rsidRPr="00CC1E70">
        <w:rPr>
          <w:rFonts w:ascii="Calibri" w:hAnsi="Calibri" w:cs="Calibri"/>
        </w:rPr>
        <w:t xml:space="preserve">understand how water projects have </w:t>
      </w:r>
      <w:r w:rsidR="005720F2" w:rsidRPr="00CC1E70">
        <w:rPr>
          <w:rFonts w:ascii="Calibri" w:hAnsi="Calibri" w:cs="Calibri"/>
        </w:rPr>
        <w:t>impacted SDG6 priorities</w:t>
      </w:r>
      <w:r w:rsidR="00F4178D" w:rsidRPr="00CC1E70">
        <w:rPr>
          <w:rFonts w:ascii="Calibri" w:hAnsi="Calibri" w:cs="Calibri"/>
        </w:rPr>
        <w:t xml:space="preserve"> in other </w:t>
      </w:r>
      <w:r w:rsidR="003E7582" w:rsidRPr="00CC1E70">
        <w:rPr>
          <w:rFonts w:ascii="Calibri" w:hAnsi="Calibri" w:cs="Calibri"/>
        </w:rPr>
        <w:t>T</w:t>
      </w:r>
      <w:r w:rsidR="00F4178D" w:rsidRPr="00CC1E70">
        <w:rPr>
          <w:rFonts w:ascii="Calibri" w:hAnsi="Calibri" w:cs="Calibri"/>
        </w:rPr>
        <w:t xml:space="preserve">ongan contexts. </w:t>
      </w:r>
    </w:p>
    <w:p w14:paraId="06131DEC" w14:textId="01D3EC9E" w:rsidR="00D369CF" w:rsidRPr="00D369CF" w:rsidRDefault="00D369CF" w:rsidP="00D369CF">
      <w:pPr>
        <w:pStyle w:val="ListParagraph"/>
        <w:rPr>
          <w:rFonts w:ascii="Calibri" w:hAnsi="Calibri" w:cs="Calibri"/>
        </w:rPr>
      </w:pPr>
    </w:p>
    <w:p w14:paraId="6D663BDA" w14:textId="5013621B" w:rsidR="00D369CF" w:rsidRPr="00D369CF" w:rsidRDefault="00D369CF" w:rsidP="00D369CF">
      <w:pPr>
        <w:spacing w:line="276" w:lineRule="auto"/>
        <w:rPr>
          <w:rFonts w:ascii="Calibri" w:hAnsi="Calibri" w:cs="Calibri"/>
        </w:rPr>
      </w:pPr>
    </w:p>
    <w:p w14:paraId="3DA04E5D" w14:textId="48D704E4" w:rsidR="00F70CAD" w:rsidRDefault="00F70CAD" w:rsidP="00F70CAD">
      <w:pPr>
        <w:spacing w:line="276" w:lineRule="auto"/>
        <w:rPr>
          <w:rFonts w:ascii="Calibri" w:hAnsi="Calibri" w:cs="Calibri"/>
        </w:rPr>
      </w:pPr>
    </w:p>
    <w:p w14:paraId="5D2BC328" w14:textId="64F5F00B" w:rsidR="00F70CAD" w:rsidRDefault="00F70CAD" w:rsidP="00F70CAD">
      <w:pPr>
        <w:spacing w:line="276" w:lineRule="auto"/>
        <w:rPr>
          <w:rFonts w:ascii="Calibri" w:hAnsi="Calibri" w:cs="Calibri"/>
        </w:rPr>
      </w:pPr>
    </w:p>
    <w:p w14:paraId="1A4622B7" w14:textId="33D19E7B" w:rsidR="00F70CAD" w:rsidRDefault="00F70CAD" w:rsidP="00831C12">
      <w:pPr>
        <w:pStyle w:val="BulletPoints"/>
        <w:numPr>
          <w:ilvl w:val="0"/>
          <w:numId w:val="0"/>
        </w:numPr>
        <w:ind w:right="1134"/>
        <w:jc w:val="left"/>
        <w:rPr>
          <w:b/>
        </w:rPr>
        <w:sectPr w:rsidR="00F70CAD" w:rsidSect="00B4604C">
          <w:footerReference w:type="default" r:id="rId20"/>
          <w:type w:val="continuous"/>
          <w:pgSz w:w="11907" w:h="16840" w:code="9"/>
          <w:pgMar w:top="1440" w:right="851" w:bottom="851" w:left="851" w:header="135" w:footer="0" w:gutter="0"/>
          <w:pgNumType w:start="1"/>
          <w:cols w:num="2" w:space="720"/>
          <w:formProt w:val="0"/>
          <w:docGrid w:linePitch="299"/>
        </w:sectPr>
      </w:pPr>
    </w:p>
    <w:p w14:paraId="05F5F5F1" w14:textId="3034E7DB" w:rsidR="00646AC1" w:rsidRPr="00D318C4" w:rsidRDefault="00646AC1" w:rsidP="0048070F">
      <w:pPr>
        <w:sectPr w:rsidR="00646AC1" w:rsidRPr="00D318C4" w:rsidSect="00AA704D">
          <w:headerReference w:type="default" r:id="rId21"/>
          <w:type w:val="continuous"/>
          <w:pgSz w:w="11907" w:h="16840" w:code="9"/>
          <w:pgMar w:top="1440" w:right="851" w:bottom="1440" w:left="851" w:header="0" w:footer="0" w:gutter="0"/>
          <w:pgNumType w:start="1"/>
          <w:cols w:space="720"/>
          <w:formProt w:val="0"/>
          <w:docGrid w:linePitch="299"/>
        </w:sectPr>
      </w:pPr>
    </w:p>
    <w:p w14:paraId="498E1BAF" w14:textId="3A291FCC" w:rsidR="00831C12" w:rsidRDefault="009F630C" w:rsidP="006344A5">
      <w:pPr>
        <w:pStyle w:val="Heading3"/>
        <w:jc w:val="left"/>
        <w:sectPr w:rsidR="00831C12" w:rsidSect="00AA704D">
          <w:pgSz w:w="11907" w:h="16840" w:code="9"/>
          <w:pgMar w:top="851" w:right="851" w:bottom="1021" w:left="851" w:header="0" w:footer="0" w:gutter="0"/>
          <w:pgNumType w:start="1"/>
          <w:cols w:space="720"/>
          <w:formProt w:val="0"/>
          <w:docGrid w:linePitch="299"/>
        </w:sectPr>
      </w:pPr>
      <w:r>
        <w:rPr>
          <w:rFonts w:ascii="Calibri" w:hAnsi="Calibri" w:cs="Calibri"/>
          <w:noProof/>
        </w:rPr>
        <w:lastRenderedPageBreak/>
        <mc:AlternateContent>
          <mc:Choice Requires="wps">
            <w:drawing>
              <wp:anchor distT="0" distB="0" distL="114300" distR="114300" simplePos="0" relativeHeight="251662336" behindDoc="0" locked="0" layoutInCell="1" allowOverlap="1" wp14:anchorId="26CC0E59" wp14:editId="008B1327">
                <wp:simplePos x="0" y="0"/>
                <wp:positionH relativeFrom="column">
                  <wp:posOffset>-60700</wp:posOffset>
                </wp:positionH>
                <wp:positionV relativeFrom="paragraph">
                  <wp:posOffset>29240</wp:posOffset>
                </wp:positionV>
                <wp:extent cx="6634975" cy="52210741"/>
                <wp:effectExtent l="0" t="0" r="0" b="0"/>
                <wp:wrapNone/>
                <wp:docPr id="1108112526" name="Text Box 2"/>
                <wp:cNvGraphicFramePr/>
                <a:graphic xmlns:a="http://schemas.openxmlformats.org/drawingml/2006/main">
                  <a:graphicData uri="http://schemas.microsoft.com/office/word/2010/wordprocessingShape">
                    <wps:wsp>
                      <wps:cNvSpPr txBox="1"/>
                      <wps:spPr>
                        <a:xfrm>
                          <a:off x="0" y="0"/>
                          <a:ext cx="6634975" cy="52210741"/>
                        </a:xfrm>
                        <a:prstGeom prst="rect">
                          <a:avLst/>
                        </a:prstGeom>
                        <a:noFill/>
                        <a:ln w="6350">
                          <a:noFill/>
                        </a:ln>
                      </wps:spPr>
                      <wps:txbx>
                        <w:txbxContent>
                          <w:tbl>
                            <w:tblPr>
                              <w:tblW w:w="9468" w:type="dxa"/>
                              <w:tblLayout w:type="fixed"/>
                              <w:tblLook w:val="0000" w:firstRow="0" w:lastRow="0" w:firstColumn="0" w:lastColumn="0" w:noHBand="0" w:noVBand="0"/>
                            </w:tblPr>
                            <w:tblGrid>
                              <w:gridCol w:w="9468"/>
                            </w:tblGrid>
                            <w:tr w:rsidR="00502B16" w14:paraId="7E52844B" w14:textId="77777777">
                              <w:trPr>
                                <w:trHeight w:val="1137"/>
                              </w:trPr>
                              <w:tc>
                                <w:tcPr>
                                  <w:tcW w:w="9468" w:type="dxa"/>
                                </w:tcPr>
                                <w:p w14:paraId="26416FFE" w14:textId="77777777" w:rsidR="00502B16" w:rsidRPr="00A62056" w:rsidRDefault="00502B16" w:rsidP="00F70CAD">
                                  <w:pPr>
                                    <w:pStyle w:val="BulletPoints"/>
                                    <w:numPr>
                                      <w:ilvl w:val="0"/>
                                      <w:numId w:val="0"/>
                                    </w:numPr>
                                    <w:ind w:right="1134"/>
                                    <w:jc w:val="left"/>
                                    <w:rPr>
                                      <w:rFonts w:asciiTheme="minorHAnsi" w:hAnsiTheme="minorHAnsi" w:cstheme="minorHAnsi"/>
                                      <w:b/>
                                      <w:color w:val="864EA8" w:themeColor="accent1" w:themeShade="BF"/>
                                    </w:rPr>
                                  </w:pPr>
                                  <w:r w:rsidRPr="00A62056">
                                    <w:rPr>
                                      <w:rFonts w:asciiTheme="minorHAnsi" w:hAnsiTheme="minorHAnsi" w:cstheme="minorHAnsi"/>
                                      <w:b/>
                                      <w:color w:val="864EA8" w:themeColor="accent1" w:themeShade="BF"/>
                                    </w:rPr>
                                    <w:t>References</w:t>
                                  </w:r>
                                </w:p>
                                <w:p w14:paraId="3772359F" w14:textId="77777777" w:rsidR="00502B16" w:rsidRPr="00354157" w:rsidRDefault="00502B16" w:rsidP="00F70CAD">
                                  <w:pPr>
                                    <w:spacing w:after="180" w:line="480" w:lineRule="auto"/>
                                    <w:ind w:left="900" w:hanging="440"/>
                                    <w:rPr>
                                      <w:sz w:val="18"/>
                                      <w:szCs w:val="18"/>
                                    </w:rPr>
                                  </w:pPr>
                                  <w:r w:rsidRPr="00354157">
                                    <w:rPr>
                                      <w:sz w:val="18"/>
                                      <w:szCs w:val="18"/>
                                      <w:lang w:val="en-US"/>
                                    </w:rPr>
                                    <w:t>Asian Development Bank. Village Water Committee Pilot Report</w:t>
                                  </w:r>
                                  <w:r>
                                    <w:rPr>
                                      <w:sz w:val="18"/>
                                      <w:szCs w:val="18"/>
                                      <w:lang w:val="en-US"/>
                                    </w:rPr>
                                    <w:t>.</w:t>
                                  </w:r>
                                  <w:r w:rsidRPr="00354157">
                                    <w:rPr>
                                      <w:sz w:val="18"/>
                                      <w:szCs w:val="18"/>
                                      <w:lang w:val="en-US"/>
                                    </w:rPr>
                                    <w:t xml:space="preserve"> (2023)</w:t>
                                  </w:r>
                                  <w:r>
                                    <w:rPr>
                                      <w:sz w:val="18"/>
                                      <w:szCs w:val="18"/>
                                      <w:lang w:val="en-US"/>
                                    </w:rPr>
                                    <w:t>.</w:t>
                                  </w:r>
                                </w:p>
                                <w:p w14:paraId="337FE024" w14:textId="77777777" w:rsidR="00502B16" w:rsidRDefault="00502B16" w:rsidP="00F70CAD">
                                  <w:pPr>
                                    <w:spacing w:after="180" w:line="480" w:lineRule="auto"/>
                                    <w:ind w:left="900" w:hanging="440"/>
                                    <w:rPr>
                                      <w:sz w:val="18"/>
                                      <w:szCs w:val="18"/>
                                    </w:rPr>
                                  </w:pPr>
                                  <w:r w:rsidRPr="00354157">
                                    <w:rPr>
                                      <w:sz w:val="18"/>
                                      <w:szCs w:val="18"/>
                                    </w:rPr>
                                    <w:t>Clarke, M., Feeny, S., &amp; Donnelly, J. (2014). Water, sanitation and hygiene interventions in the Pacific: Defining, assessing and improving ‘Sustainability’</w:t>
                                  </w:r>
                                  <w:r>
                                    <w:rPr>
                                      <w:sz w:val="18"/>
                                      <w:szCs w:val="18"/>
                                    </w:rPr>
                                    <w:t>.</w:t>
                                  </w:r>
                                  <w:r>
                                    <w:rPr>
                                      <w:i/>
                                      <w:sz w:val="18"/>
                                      <w:szCs w:val="18"/>
                                    </w:rPr>
                                    <w:t xml:space="preserve"> European Journal of Development Research, 26</w:t>
                                  </w:r>
                                  <w:r>
                                    <w:rPr>
                                      <w:sz w:val="18"/>
                                      <w:szCs w:val="18"/>
                                    </w:rPr>
                                    <w:t>(5), 692–706. DOI:10.1057/ejdr.2013.67</w:t>
                                  </w:r>
                                </w:p>
                                <w:p w14:paraId="4BC69494" w14:textId="77777777" w:rsidR="00502B16" w:rsidRDefault="00502B16" w:rsidP="00F70CAD">
                                  <w:pPr>
                                    <w:spacing w:after="180" w:line="480" w:lineRule="auto"/>
                                    <w:ind w:left="900" w:hanging="440"/>
                                    <w:rPr>
                                      <w:sz w:val="18"/>
                                      <w:szCs w:val="18"/>
                                    </w:rPr>
                                  </w:pPr>
                                  <w:r>
                                    <w:rPr>
                                      <w:sz w:val="18"/>
                                      <w:szCs w:val="18"/>
                                    </w:rPr>
                                    <w:t>Haak, E., &amp; Nakamura, N. (2021). Perceptions of local community members towards foreign aid: A case study of Vava'u, Tonga.</w:t>
                                  </w:r>
                                  <w:r>
                                    <w:rPr>
                                      <w:i/>
                                      <w:sz w:val="18"/>
                                      <w:szCs w:val="18"/>
                                    </w:rPr>
                                    <w:t xml:space="preserve"> New Zealand Geographer, 77</w:t>
                                  </w:r>
                                  <w:r>
                                    <w:rPr>
                                      <w:sz w:val="18"/>
                                      <w:szCs w:val="18"/>
                                    </w:rPr>
                                    <w:t>(1), 32–41. DOI:10.1111/nzg.12284</w:t>
                                  </w:r>
                                </w:p>
                                <w:p w14:paraId="1C3EC0E4" w14:textId="77777777" w:rsidR="00502B16" w:rsidRDefault="00502B16" w:rsidP="00F70CAD">
                                  <w:pPr>
                                    <w:spacing w:after="180" w:line="480" w:lineRule="auto"/>
                                    <w:ind w:left="900" w:hanging="440"/>
                                    <w:rPr>
                                      <w:sz w:val="18"/>
                                      <w:szCs w:val="18"/>
                                    </w:rPr>
                                  </w:pPr>
                                  <w:r>
                                    <w:rPr>
                                      <w:sz w:val="18"/>
                                      <w:szCs w:val="18"/>
                                      <w:highlight w:val="white"/>
                                    </w:rPr>
                                    <w:t xml:space="preserve">Howard, G., Bartram, J., Williams, A., Overbo, A., Fuente, D., &amp; Geere, J. (2020). </w:t>
                                  </w:r>
                                  <w:r>
                                    <w:rPr>
                                      <w:i/>
                                      <w:sz w:val="18"/>
                                      <w:szCs w:val="18"/>
                                    </w:rPr>
                                    <w:t>Domestic water quantity, service level and health</w:t>
                                  </w:r>
                                  <w:r>
                                    <w:rPr>
                                      <w:sz w:val="18"/>
                                      <w:szCs w:val="18"/>
                                      <w:highlight w:val="white"/>
                                    </w:rPr>
                                    <w:t xml:space="preserve"> World Health Organization. Retrieved from </w:t>
                                  </w:r>
                                  <w:hyperlink r:id="rId22">
                                    <w:r>
                                      <w:rPr>
                                        <w:color w:val="0066CC"/>
                                        <w:sz w:val="18"/>
                                        <w:szCs w:val="18"/>
                                      </w:rPr>
                                      <w:t>http://eprints.whiterose.ac.uk/170082</w:t>
                                    </w:r>
                                  </w:hyperlink>
                                </w:p>
                                <w:p w14:paraId="7CA70AA4" w14:textId="33E6E2EC" w:rsidR="009E20C7" w:rsidRDefault="009E20C7" w:rsidP="009E20C7">
                                  <w:pPr>
                                    <w:spacing w:after="180" w:line="480" w:lineRule="auto"/>
                                    <w:ind w:left="900" w:hanging="440"/>
                                    <w:rPr>
                                      <w:sz w:val="18"/>
                                      <w:szCs w:val="18"/>
                                    </w:rPr>
                                  </w:pPr>
                                  <w:r>
                                    <w:rPr>
                                      <w:sz w:val="18"/>
                                      <w:szCs w:val="18"/>
                                    </w:rPr>
                                    <w:t xml:space="preserve">Mainstreaming Of Rural Development and Innovation. (2020). The project to enhance disaster preparedness for water security - project completion report. Retrieved from </w:t>
                                  </w:r>
                                  <w:hyperlink r:id="rId23">
                                    <w:r>
                                      <w:rPr>
                                        <w:color w:val="0066CC"/>
                                        <w:sz w:val="18"/>
                                        <w:szCs w:val="18"/>
                                      </w:rPr>
                                      <w:t>https://www.morditonga.to/wp-content/uploads/29-_Eua-Island_Water-Tank-Project-Completion-Report.pdf</w:t>
                                    </w:r>
                                  </w:hyperlink>
                                </w:p>
                                <w:p w14:paraId="2E7ABD7A" w14:textId="1A424D95" w:rsidR="00502B16" w:rsidRDefault="00502B16" w:rsidP="00F70CAD">
                                  <w:pPr>
                                    <w:spacing w:after="180" w:line="480" w:lineRule="auto"/>
                                    <w:ind w:left="900" w:hanging="440"/>
                                    <w:rPr>
                                      <w:sz w:val="18"/>
                                      <w:szCs w:val="18"/>
                                    </w:rPr>
                                  </w:pPr>
                                  <w:r>
                                    <w:rPr>
                                      <w:sz w:val="18"/>
                                      <w:szCs w:val="18"/>
                                    </w:rPr>
                                    <w:t>McNamara, K. E., Clissold, R., Westoby, R., Piggott-McKellar, A. E., Kumar, R., Clarke, T., Nunn, P. D. (2020). An assessment of community-based adaptation initiatives in the Pacific Islands.</w:t>
                                  </w:r>
                                  <w:r>
                                    <w:rPr>
                                      <w:i/>
                                      <w:sz w:val="18"/>
                                      <w:szCs w:val="18"/>
                                    </w:rPr>
                                    <w:t xml:space="preserve"> Nature Climate Change, 10</w:t>
                                  </w:r>
                                  <w:r>
                                    <w:rPr>
                                      <w:sz w:val="18"/>
                                      <w:szCs w:val="18"/>
                                    </w:rPr>
                                    <w:t>(7), 628–639. DOI:10.1038/s41558-020-0813-1</w:t>
                                  </w:r>
                                </w:p>
                                <w:p w14:paraId="2F9880A2" w14:textId="77777777" w:rsidR="00502B16" w:rsidRDefault="00502B16" w:rsidP="00F70CAD">
                                  <w:pPr>
                                    <w:spacing w:after="180" w:line="480" w:lineRule="auto"/>
                                    <w:ind w:left="900" w:hanging="440"/>
                                    <w:rPr>
                                      <w:sz w:val="18"/>
                                      <w:szCs w:val="18"/>
                                    </w:rPr>
                                  </w:pPr>
                                  <w:r>
                                    <w:rPr>
                                      <w:sz w:val="18"/>
                                      <w:szCs w:val="18"/>
                                    </w:rPr>
                                    <w:t xml:space="preserve">Sione's Foundation. (2023). 'Eua water quality improvement project. Retrieved from </w:t>
                                  </w:r>
                                  <w:hyperlink r:id="rId24">
                                    <w:r>
                                      <w:rPr>
                                        <w:color w:val="0066CC"/>
                                        <w:sz w:val="18"/>
                                        <w:szCs w:val="18"/>
                                      </w:rPr>
                                      <w:t>https://sionesfoundation.com.au/case-study-eua-water/</w:t>
                                    </w:r>
                                  </w:hyperlink>
                                </w:p>
                                <w:p w14:paraId="088B977A" w14:textId="5AE26777" w:rsidR="00502B16" w:rsidRDefault="00502B16" w:rsidP="00F70CAD">
                                  <w:pPr>
                                    <w:spacing w:after="180" w:line="480" w:lineRule="auto"/>
                                    <w:ind w:left="900" w:hanging="440"/>
                                    <w:rPr>
                                      <w:sz w:val="18"/>
                                      <w:szCs w:val="18"/>
                                    </w:rPr>
                                  </w:pPr>
                                  <w:r>
                                    <w:rPr>
                                      <w:sz w:val="18"/>
                                      <w:szCs w:val="18"/>
                                    </w:rPr>
                                    <w:t>The Government of Tonga. (2024). Tonga water sector plan: Ensuring a resilient and water secure Tonga.</w:t>
                                  </w:r>
                                  <w:r w:rsidR="00A8624B">
                                    <w:rPr>
                                      <w:sz w:val="18"/>
                                      <w:szCs w:val="18"/>
                                    </w:rPr>
                                    <w:t xml:space="preserve"> (draft)</w:t>
                                  </w:r>
                                </w:p>
                                <w:p w14:paraId="6E3EE7E1" w14:textId="77777777" w:rsidR="00502B16" w:rsidRPr="00F70CAD" w:rsidRDefault="00502B16" w:rsidP="00F70CAD">
                                  <w:pPr>
                                    <w:spacing w:after="180" w:line="480" w:lineRule="auto"/>
                                    <w:ind w:left="900" w:hanging="440"/>
                                    <w:rPr>
                                      <w:sz w:val="18"/>
                                      <w:szCs w:val="18"/>
                                    </w:rPr>
                                  </w:pPr>
                                  <w:r>
                                    <w:rPr>
                                      <w:color w:val="333333"/>
                                      <w:sz w:val="18"/>
                                      <w:szCs w:val="18"/>
                                      <w:highlight w:val="white"/>
                                    </w:rPr>
                                    <w:t>United</w:t>
                                  </w:r>
                                  <w:r>
                                    <w:rPr>
                                      <w:sz w:val="18"/>
                                      <w:szCs w:val="18"/>
                                    </w:rPr>
                                    <w:t xml:space="preserve"> Nations. (2024). SDG 6 Snapshot in Tonga. Available from: </w:t>
                                  </w:r>
                                  <w:hyperlink r:id="rId25" w:anchor="anchor_6.1.1">
                                    <w:r>
                                      <w:rPr>
                                        <w:color w:val="1155CC"/>
                                        <w:sz w:val="18"/>
                                        <w:szCs w:val="18"/>
                                        <w:u w:val="single"/>
                                      </w:rPr>
                                      <w:t>https://www.sdg6data.org/en/country-or-area/Tonga#anchor_6.1.1</w:t>
                                    </w:r>
                                  </w:hyperlink>
                                  <w:r>
                                    <w:rPr>
                                      <w:sz w:val="18"/>
                                      <w:szCs w:val="18"/>
                                    </w:rPr>
                                    <w:t xml:space="preserve"> [Accessed 10 May 2025] </w:t>
                                  </w:r>
                                </w:p>
                              </w:tc>
                            </w:tr>
                            <w:tr w:rsidR="00502B16" w14:paraId="4C37FAD5" w14:textId="77777777">
                              <w:tc>
                                <w:tcPr>
                                  <w:tcW w:w="9468" w:type="dxa"/>
                                </w:tcPr>
                                <w:p w14:paraId="3EAA1E1E" w14:textId="77777777" w:rsidR="00502B16" w:rsidRDefault="00502B16" w:rsidP="00F70CAD">
                                  <w:pPr>
                                    <w:pStyle w:val="BulletPoints"/>
                                    <w:numPr>
                                      <w:ilvl w:val="0"/>
                                      <w:numId w:val="0"/>
                                    </w:numPr>
                                    <w:tabs>
                                      <w:tab w:val="left" w:pos="1019"/>
                                    </w:tabs>
                                    <w:spacing w:after="0"/>
                                    <w:ind w:left="720" w:hanging="720"/>
                                    <w:jc w:val="left"/>
                                    <w:rPr>
                                      <w:rFonts w:ascii="Calibri" w:hAnsi="Calibri" w:cs="Calibri"/>
                                      <w:b/>
                                      <w:bCs/>
                                      <w:iCs/>
                                      <w:color w:val="800080"/>
                                      <w:sz w:val="22"/>
                                      <w:szCs w:val="22"/>
                                    </w:rPr>
                                  </w:pPr>
                                </w:p>
                                <w:p w14:paraId="1F523BE4" w14:textId="77777777" w:rsidR="00502B16" w:rsidRDefault="00502B16" w:rsidP="00F70CAD">
                                  <w:pPr>
                                    <w:pStyle w:val="BulletPoints"/>
                                    <w:numPr>
                                      <w:ilvl w:val="0"/>
                                      <w:numId w:val="0"/>
                                    </w:numPr>
                                    <w:tabs>
                                      <w:tab w:val="left" w:pos="1019"/>
                                    </w:tabs>
                                    <w:spacing w:after="0"/>
                                    <w:ind w:left="720" w:hanging="720"/>
                                    <w:jc w:val="left"/>
                                    <w:rPr>
                                      <w:rFonts w:ascii="Calibri" w:hAnsi="Calibri" w:cs="Calibri"/>
                                      <w:b/>
                                      <w:bCs/>
                                      <w:iCs/>
                                      <w:color w:val="800080"/>
                                      <w:sz w:val="22"/>
                                      <w:szCs w:val="22"/>
                                    </w:rPr>
                                  </w:pPr>
                                  <w:r w:rsidRPr="003C4DD1">
                                    <w:rPr>
                                      <w:rFonts w:ascii="Calibri" w:hAnsi="Calibri" w:cs="Calibri"/>
                                      <w:b/>
                                      <w:bCs/>
                                      <w:iCs/>
                                      <w:color w:val="800080"/>
                                      <w:sz w:val="22"/>
                                      <w:szCs w:val="22"/>
                                    </w:rPr>
                                    <w:t>ANNEX 1</w:t>
                                  </w:r>
                                </w:p>
                                <w:p w14:paraId="30D06F3F" w14:textId="77777777" w:rsidR="00502B16" w:rsidRPr="00107158" w:rsidRDefault="00502B16" w:rsidP="00305734">
                                  <w:pPr>
                                    <w:shd w:val="clear" w:color="auto" w:fill="FFFFFF"/>
                                    <w:spacing w:before="240" w:after="240"/>
                                    <w:rPr>
                                      <w:rFonts w:ascii="Arial" w:hAnsi="Arial" w:cs="Arial"/>
                                      <w:b/>
                                      <w:bCs/>
                                      <w:i/>
                                      <w:iCs/>
                                      <w:sz w:val="20"/>
                                      <w:szCs w:val="18"/>
                                    </w:rPr>
                                  </w:pPr>
                                  <w:r w:rsidRPr="00107158">
                                    <w:rPr>
                                      <w:rFonts w:ascii="Arial" w:hAnsi="Arial" w:cs="Arial"/>
                                      <w:b/>
                                      <w:bCs/>
                                      <w:i/>
                                      <w:iCs/>
                                      <w:sz w:val="20"/>
                                      <w:szCs w:val="18"/>
                                    </w:rPr>
                                    <w:t>Prior to the research commencing, this research was self-assessed as low risk using the Massey University Human Ethics Committee checklist and evaluated by peer review. The MUHEC were notified about the project (Massey University Ethics Notification Number 4000030317). The author of this report is responsible for the ethical conduct of this research, which was conducted in accordance with the principles of privacy, informed consent and harm avoidance.</w:t>
                                  </w:r>
                                </w:p>
                                <w:p w14:paraId="4748A06C" w14:textId="77777777" w:rsidR="00502B16" w:rsidRDefault="00502B16" w:rsidP="00F70CAD">
                                  <w:pPr>
                                    <w:pStyle w:val="NormalWeb"/>
                                    <w:shd w:val="clear" w:color="auto" w:fill="FFFFFF"/>
                                  </w:pPr>
                                  <w:r>
                                    <w:rPr>
                                      <w:rFonts w:ascii="Arial" w:hAnsi="Arial" w:cs="Arial"/>
                                      <w:b/>
                                      <w:bCs/>
                                      <w:i/>
                                      <w:iCs/>
                                      <w:sz w:val="20"/>
                                      <w:szCs w:val="20"/>
                                    </w:rPr>
                                    <w:t xml:space="preserve">If you have any concerns about the ethical conduct of this research that you want to raise with someone other than the researcher, please contact Massey University Human Ethics by email: humanethics@massey.ac.nz. </w:t>
                                  </w:r>
                                </w:p>
                                <w:p w14:paraId="483F3596" w14:textId="77777777" w:rsidR="00502B16" w:rsidRPr="003C4DD1" w:rsidRDefault="00502B16" w:rsidP="00F70CAD">
                                  <w:pPr>
                                    <w:pStyle w:val="BulletPoints"/>
                                    <w:numPr>
                                      <w:ilvl w:val="0"/>
                                      <w:numId w:val="0"/>
                                    </w:numPr>
                                    <w:tabs>
                                      <w:tab w:val="left" w:pos="1019"/>
                                    </w:tabs>
                                    <w:spacing w:after="0"/>
                                    <w:ind w:left="720" w:hanging="720"/>
                                    <w:jc w:val="left"/>
                                    <w:rPr>
                                      <w:rFonts w:ascii="Calibri" w:hAnsi="Calibri" w:cs="Calibri"/>
                                      <w:b/>
                                      <w:bCs/>
                                      <w:iCs/>
                                      <w:color w:val="800080"/>
                                      <w:sz w:val="22"/>
                                      <w:szCs w:val="22"/>
                                    </w:rPr>
                                  </w:pPr>
                                </w:p>
                                <w:p w14:paraId="3BF799FA" w14:textId="77777777" w:rsidR="00502B16" w:rsidRDefault="00502B16" w:rsidP="00F70CAD">
                                  <w:pPr>
                                    <w:pStyle w:val="BulletPoints"/>
                                    <w:numPr>
                                      <w:ilvl w:val="0"/>
                                      <w:numId w:val="0"/>
                                    </w:numPr>
                                    <w:tabs>
                                      <w:tab w:val="left" w:pos="1019"/>
                                    </w:tabs>
                                    <w:spacing w:after="0"/>
                                    <w:ind w:left="720" w:hanging="720"/>
                                    <w:jc w:val="left"/>
                                    <w:rPr>
                                      <w:rFonts w:ascii="Tahoma" w:hAnsi="Tahoma" w:cs="Tahoma"/>
                                      <w:i/>
                                      <w:color w:val="800080"/>
                                      <w:sz w:val="22"/>
                                      <w:szCs w:val="22"/>
                                    </w:rPr>
                                  </w:pPr>
                                </w:p>
                                <w:p w14:paraId="24DAE789" w14:textId="77777777" w:rsidR="00502B16" w:rsidRDefault="00502B16" w:rsidP="00F70CAD">
                                  <w:pPr>
                                    <w:pStyle w:val="BulletPoints"/>
                                    <w:numPr>
                                      <w:ilvl w:val="0"/>
                                      <w:numId w:val="0"/>
                                    </w:numPr>
                                    <w:spacing w:after="0"/>
                                    <w:jc w:val="left"/>
                                    <w:rPr>
                                      <w:rFonts w:ascii="Tahoma" w:hAnsi="Tahoma" w:cs="Tahoma"/>
                                      <w:i/>
                                      <w:color w:val="800080"/>
                                      <w:sz w:val="22"/>
                                      <w:szCs w:val="22"/>
                                    </w:rPr>
                                  </w:pPr>
                                </w:p>
                                <w:p w14:paraId="7CF132D4" w14:textId="77777777" w:rsidR="00502B16" w:rsidRPr="00511A84" w:rsidRDefault="00502B16" w:rsidP="00F70CAD">
                                  <w:pPr>
                                    <w:pStyle w:val="BulletPoints"/>
                                    <w:numPr>
                                      <w:ilvl w:val="0"/>
                                      <w:numId w:val="0"/>
                                    </w:numPr>
                                    <w:spacing w:after="0"/>
                                    <w:ind w:left="720" w:hanging="720"/>
                                    <w:jc w:val="left"/>
                                    <w:rPr>
                                      <w:rFonts w:ascii="Tahoma" w:hAnsi="Tahoma" w:cs="Tahoma"/>
                                      <w:i/>
                                      <w:color w:val="800080"/>
                                      <w:sz w:val="22"/>
                                      <w:szCs w:val="22"/>
                                    </w:rPr>
                                  </w:pPr>
                                </w:p>
                              </w:tc>
                            </w:tr>
                            <w:tr w:rsidR="00502B16" w14:paraId="50C5D4E5" w14:textId="77777777">
                              <w:tc>
                                <w:tcPr>
                                  <w:tcW w:w="9468" w:type="dxa"/>
                                </w:tcPr>
                                <w:p w14:paraId="1A9E94F9" w14:textId="77777777" w:rsidR="00502B16" w:rsidRPr="00165486" w:rsidRDefault="00502B16" w:rsidP="00F70CAD">
                                  <w:pPr>
                                    <w:pStyle w:val="BulletPoints"/>
                                    <w:numPr>
                                      <w:ilvl w:val="0"/>
                                      <w:numId w:val="0"/>
                                    </w:numPr>
                                    <w:spacing w:after="0"/>
                                    <w:jc w:val="left"/>
                                    <w:rPr>
                                      <w:rFonts w:ascii="Tahoma" w:hAnsi="Tahoma" w:cs="Tahoma"/>
                                      <w:i/>
                                      <w:color w:val="800080"/>
                                      <w:sz w:val="22"/>
                                      <w:szCs w:val="22"/>
                                    </w:rPr>
                                  </w:pPr>
                                </w:p>
                              </w:tc>
                            </w:tr>
                          </w:tbl>
                          <w:p w14:paraId="5085371F" w14:textId="77777777" w:rsidR="00502B16" w:rsidRDefault="00502B16" w:rsidP="00502B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CC0E59" id="_x0000_t202" coordsize="21600,21600" o:spt="202" path="m,l,21600r21600,l21600,xe">
                <v:stroke joinstyle="miter"/>
                <v:path gradientshapeok="t" o:connecttype="rect"/>
              </v:shapetype>
              <v:shape id="Text Box 2" o:spid="_x0000_s1026" type="#_x0000_t202" style="position:absolute;margin-left:-4.8pt;margin-top:2.3pt;width:522.45pt;height:4111.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" filled="f" stroked="f" strokeweight=".5pt">
                <v:textbox>
                  <w:txbxContent>
                    <w:tbl>
                      <w:tblPr>
                        <w:tblW w:w="9468" w:type="dxa"/>
                        <w:tblLayout w:type="fixed"/>
                        <w:tblLook w:val="0000" w:firstRow="0" w:lastRow="0" w:firstColumn="0" w:lastColumn="0" w:noHBand="0" w:noVBand="0"/>
                      </w:tblPr>
                      <w:tblGrid>
                        <w:gridCol w:w="9468"/>
                      </w:tblGrid>
                      <w:tr w:rsidR="00502B16" w14:paraId="7E52844B" w14:textId="77777777">
                        <w:trPr>
                          <w:trHeight w:val="1137"/>
                        </w:trPr>
                        <w:tc>
                          <w:tcPr>
                            <w:tcW w:w="9468" w:type="dxa"/>
                          </w:tcPr>
                          <w:p w14:paraId="26416FFE" w14:textId="77777777" w:rsidR="00502B16" w:rsidRPr="00A62056" w:rsidRDefault="00502B16" w:rsidP="00F70CAD">
                            <w:pPr>
                              <w:pStyle w:val="BulletPoints"/>
                              <w:numPr>
                                <w:ilvl w:val="0"/>
                                <w:numId w:val="0"/>
                              </w:numPr>
                              <w:ind w:right="1134"/>
                              <w:jc w:val="left"/>
                              <w:rPr>
                                <w:rFonts w:asciiTheme="minorHAnsi" w:hAnsiTheme="minorHAnsi" w:cstheme="minorHAnsi"/>
                                <w:b/>
                                <w:color w:val="864EA8" w:themeColor="accent1" w:themeShade="BF"/>
                              </w:rPr>
                            </w:pPr>
                            <w:r w:rsidRPr="00A62056">
                              <w:rPr>
                                <w:rFonts w:asciiTheme="minorHAnsi" w:hAnsiTheme="minorHAnsi" w:cstheme="minorHAnsi"/>
                                <w:b/>
                                <w:color w:val="864EA8" w:themeColor="accent1" w:themeShade="BF"/>
                              </w:rPr>
                              <w:t>References</w:t>
                            </w:r>
                          </w:p>
                          <w:p w14:paraId="3772359F" w14:textId="77777777" w:rsidR="00502B16" w:rsidRPr="00354157" w:rsidRDefault="00502B16" w:rsidP="00F70CAD">
                            <w:pPr>
                              <w:spacing w:after="180" w:line="480" w:lineRule="auto"/>
                              <w:ind w:left="900" w:hanging="440"/>
                              <w:rPr>
                                <w:sz w:val="18"/>
                                <w:szCs w:val="18"/>
                              </w:rPr>
                            </w:pPr>
                            <w:r w:rsidRPr="00354157">
                              <w:rPr>
                                <w:sz w:val="18"/>
                                <w:szCs w:val="18"/>
                                <w:lang w:val="en-US"/>
                              </w:rPr>
                              <w:t>Asian Development Bank. Village Water Committee Pilot Report</w:t>
                            </w:r>
                            <w:r>
                              <w:rPr>
                                <w:sz w:val="18"/>
                                <w:szCs w:val="18"/>
                                <w:lang w:val="en-US"/>
                              </w:rPr>
                              <w:t>.</w:t>
                            </w:r>
                            <w:r w:rsidRPr="00354157">
                              <w:rPr>
                                <w:sz w:val="18"/>
                                <w:szCs w:val="18"/>
                                <w:lang w:val="en-US"/>
                              </w:rPr>
                              <w:t xml:space="preserve"> (2023)</w:t>
                            </w:r>
                            <w:r>
                              <w:rPr>
                                <w:sz w:val="18"/>
                                <w:szCs w:val="18"/>
                                <w:lang w:val="en-US"/>
                              </w:rPr>
                              <w:t>.</w:t>
                            </w:r>
                          </w:p>
                          <w:p w14:paraId="337FE024" w14:textId="77777777" w:rsidR="00502B16" w:rsidRDefault="00502B16" w:rsidP="00F70CAD">
                            <w:pPr>
                              <w:spacing w:after="180" w:line="480" w:lineRule="auto"/>
                              <w:ind w:left="900" w:hanging="440"/>
                              <w:rPr>
                                <w:sz w:val="18"/>
                                <w:szCs w:val="18"/>
                              </w:rPr>
                            </w:pPr>
                            <w:r w:rsidRPr="00354157">
                              <w:rPr>
                                <w:sz w:val="18"/>
                                <w:szCs w:val="18"/>
                              </w:rPr>
                              <w:t>Clarke, M., Feeny, S., &amp; Donnelly, J. (2014). Water, sanitation and hygiene interventions in the Pacific: Defining, assessing and improving ‘Sustainability’</w:t>
                            </w:r>
                            <w:r>
                              <w:rPr>
                                <w:sz w:val="18"/>
                                <w:szCs w:val="18"/>
                              </w:rPr>
                              <w:t>.</w:t>
                            </w:r>
                            <w:r>
                              <w:rPr>
                                <w:i/>
                                <w:sz w:val="18"/>
                                <w:szCs w:val="18"/>
                              </w:rPr>
                              <w:t xml:space="preserve"> European Journal of Development Research, 26</w:t>
                            </w:r>
                            <w:r>
                              <w:rPr>
                                <w:sz w:val="18"/>
                                <w:szCs w:val="18"/>
                              </w:rPr>
                              <w:t>(5), 692–706. DOI:10.1057/ejdr.2013.67</w:t>
                            </w:r>
                          </w:p>
                          <w:p w14:paraId="4BC69494" w14:textId="77777777" w:rsidR="00502B16" w:rsidRDefault="00502B16" w:rsidP="00F70CAD">
                            <w:pPr>
                              <w:spacing w:after="180" w:line="480" w:lineRule="auto"/>
                              <w:ind w:left="900" w:hanging="440"/>
                              <w:rPr>
                                <w:sz w:val="18"/>
                                <w:szCs w:val="18"/>
                              </w:rPr>
                            </w:pPr>
                            <w:r>
                              <w:rPr>
                                <w:sz w:val="18"/>
                                <w:szCs w:val="18"/>
                              </w:rPr>
                              <w:t>Haak, E., &amp; Nakamura, N. (2021). Perceptions of local community members towards foreign aid: A case study of Vava'u, Tonga.</w:t>
                            </w:r>
                            <w:r>
                              <w:rPr>
                                <w:i/>
                                <w:sz w:val="18"/>
                                <w:szCs w:val="18"/>
                              </w:rPr>
                              <w:t xml:space="preserve"> New Zealand Geographer, 77</w:t>
                            </w:r>
                            <w:r>
                              <w:rPr>
                                <w:sz w:val="18"/>
                                <w:szCs w:val="18"/>
                              </w:rPr>
                              <w:t>(1), 32–41. DOI:10.1111/nzg.12284</w:t>
                            </w:r>
                          </w:p>
                          <w:p w14:paraId="1C3EC0E4" w14:textId="77777777" w:rsidR="00502B16" w:rsidRDefault="00502B16" w:rsidP="00F70CAD">
                            <w:pPr>
                              <w:spacing w:after="180" w:line="480" w:lineRule="auto"/>
                              <w:ind w:left="900" w:hanging="440"/>
                              <w:rPr>
                                <w:sz w:val="18"/>
                                <w:szCs w:val="18"/>
                              </w:rPr>
                            </w:pPr>
                            <w:r>
                              <w:rPr>
                                <w:sz w:val="18"/>
                                <w:szCs w:val="18"/>
                                <w:highlight w:val="white"/>
                              </w:rPr>
                              <w:t xml:space="preserve">Howard, G., Bartram, J., Williams, A., Overbo, A., Fuente, D., &amp; Geere, J. (2020). </w:t>
                            </w:r>
                            <w:r>
                              <w:rPr>
                                <w:i/>
                                <w:sz w:val="18"/>
                                <w:szCs w:val="18"/>
                              </w:rPr>
                              <w:t>Domestic water quantity, service level and health</w:t>
                            </w:r>
                            <w:r>
                              <w:rPr>
                                <w:sz w:val="18"/>
                                <w:szCs w:val="18"/>
                                <w:highlight w:val="white"/>
                              </w:rPr>
                              <w:t xml:space="preserve"> World Health Organization. Retrieved from </w:t>
                            </w:r>
                            <w:hyperlink r:id="rId26">
                              <w:r>
                                <w:rPr>
                                  <w:color w:val="0066CC"/>
                                  <w:sz w:val="18"/>
                                  <w:szCs w:val="18"/>
                                </w:rPr>
                                <w:t>http://eprints.whiterose.ac.uk/170082</w:t>
                              </w:r>
                            </w:hyperlink>
                          </w:p>
                          <w:p w14:paraId="7CA70AA4" w14:textId="33E6E2EC" w:rsidR="009E20C7" w:rsidRDefault="009E20C7" w:rsidP="009E20C7">
                            <w:pPr>
                              <w:spacing w:after="180" w:line="480" w:lineRule="auto"/>
                              <w:ind w:left="900" w:hanging="440"/>
                              <w:rPr>
                                <w:sz w:val="18"/>
                                <w:szCs w:val="18"/>
                              </w:rPr>
                            </w:pPr>
                            <w:r>
                              <w:rPr>
                                <w:sz w:val="18"/>
                                <w:szCs w:val="18"/>
                              </w:rPr>
                              <w:t xml:space="preserve">Mainstreaming Of Rural Development and Innovation. (2020). The project to enhance disaster preparedness for water security - project completion report. Retrieved from </w:t>
                            </w:r>
                            <w:hyperlink r:id="rId27">
                              <w:r>
                                <w:rPr>
                                  <w:color w:val="0066CC"/>
                                  <w:sz w:val="18"/>
                                  <w:szCs w:val="18"/>
                                </w:rPr>
                                <w:t>https://www.morditonga.to/wp-content/uploads/29-_Eua-Island_Water-Tank-Project-Completion-Report.pdf</w:t>
                              </w:r>
                            </w:hyperlink>
                          </w:p>
                          <w:p w14:paraId="2E7ABD7A" w14:textId="1A424D95" w:rsidR="00502B16" w:rsidRDefault="00502B16" w:rsidP="00F70CAD">
                            <w:pPr>
                              <w:spacing w:after="180" w:line="480" w:lineRule="auto"/>
                              <w:ind w:left="900" w:hanging="440"/>
                              <w:rPr>
                                <w:sz w:val="18"/>
                                <w:szCs w:val="18"/>
                              </w:rPr>
                            </w:pPr>
                            <w:r>
                              <w:rPr>
                                <w:sz w:val="18"/>
                                <w:szCs w:val="18"/>
                              </w:rPr>
                              <w:t>McNamara, K. E., Clissold, R., Westoby, R., Piggott-McKellar, A. E., Kumar, R., Clarke, T., Nunn, P. D. (2020). An assessment of community-based adaptation initiatives in the Pacific Islands.</w:t>
                            </w:r>
                            <w:r>
                              <w:rPr>
                                <w:i/>
                                <w:sz w:val="18"/>
                                <w:szCs w:val="18"/>
                              </w:rPr>
                              <w:t xml:space="preserve"> Nature Climate Change, 10</w:t>
                            </w:r>
                            <w:r>
                              <w:rPr>
                                <w:sz w:val="18"/>
                                <w:szCs w:val="18"/>
                              </w:rPr>
                              <w:t>(7), 628–639. DOI:10.1038/s41558-020-0813-1</w:t>
                            </w:r>
                          </w:p>
                          <w:p w14:paraId="2F9880A2" w14:textId="77777777" w:rsidR="00502B16" w:rsidRDefault="00502B16" w:rsidP="00F70CAD">
                            <w:pPr>
                              <w:spacing w:after="180" w:line="480" w:lineRule="auto"/>
                              <w:ind w:left="900" w:hanging="440"/>
                              <w:rPr>
                                <w:sz w:val="18"/>
                                <w:szCs w:val="18"/>
                              </w:rPr>
                            </w:pPr>
                            <w:r>
                              <w:rPr>
                                <w:sz w:val="18"/>
                                <w:szCs w:val="18"/>
                              </w:rPr>
                              <w:t xml:space="preserve">Sione's Foundation. (2023). 'Eua water quality improvement project. Retrieved from </w:t>
                            </w:r>
                            <w:hyperlink r:id="rId28">
                              <w:r>
                                <w:rPr>
                                  <w:color w:val="0066CC"/>
                                  <w:sz w:val="18"/>
                                  <w:szCs w:val="18"/>
                                </w:rPr>
                                <w:t>https://sionesfoundation.com.au/case-study-eua-water/</w:t>
                              </w:r>
                            </w:hyperlink>
                          </w:p>
                          <w:p w14:paraId="088B977A" w14:textId="5AE26777" w:rsidR="00502B16" w:rsidRDefault="00502B16" w:rsidP="00F70CAD">
                            <w:pPr>
                              <w:spacing w:after="180" w:line="480" w:lineRule="auto"/>
                              <w:ind w:left="900" w:hanging="440"/>
                              <w:rPr>
                                <w:sz w:val="18"/>
                                <w:szCs w:val="18"/>
                              </w:rPr>
                            </w:pPr>
                            <w:r>
                              <w:rPr>
                                <w:sz w:val="18"/>
                                <w:szCs w:val="18"/>
                              </w:rPr>
                              <w:t>The Government of Tonga. (2024). Tonga water sector plan: Ensuring a resilient and water secure Tonga.</w:t>
                            </w:r>
                            <w:r w:rsidR="00A8624B">
                              <w:rPr>
                                <w:sz w:val="18"/>
                                <w:szCs w:val="18"/>
                              </w:rPr>
                              <w:t xml:space="preserve"> (draft)</w:t>
                            </w:r>
                          </w:p>
                          <w:p w14:paraId="6E3EE7E1" w14:textId="77777777" w:rsidR="00502B16" w:rsidRPr="00F70CAD" w:rsidRDefault="00502B16" w:rsidP="00F70CAD">
                            <w:pPr>
                              <w:spacing w:after="180" w:line="480" w:lineRule="auto"/>
                              <w:ind w:left="900" w:hanging="440"/>
                              <w:rPr>
                                <w:sz w:val="18"/>
                                <w:szCs w:val="18"/>
                              </w:rPr>
                            </w:pPr>
                            <w:r>
                              <w:rPr>
                                <w:color w:val="333333"/>
                                <w:sz w:val="18"/>
                                <w:szCs w:val="18"/>
                                <w:highlight w:val="white"/>
                              </w:rPr>
                              <w:t>United</w:t>
                            </w:r>
                            <w:r>
                              <w:rPr>
                                <w:sz w:val="18"/>
                                <w:szCs w:val="18"/>
                              </w:rPr>
                              <w:t xml:space="preserve"> Nations. (2024). SDG 6 Snapshot in Tonga. Available from: </w:t>
                            </w:r>
                            <w:hyperlink r:id="rId29" w:anchor="anchor_6.1.1">
                              <w:r>
                                <w:rPr>
                                  <w:color w:val="1155CC"/>
                                  <w:sz w:val="18"/>
                                  <w:szCs w:val="18"/>
                                  <w:u w:val="single"/>
                                </w:rPr>
                                <w:t>https://www.sdg6data.org/en/country-or-area/Tonga#anchor_6.1.1</w:t>
                              </w:r>
                            </w:hyperlink>
                            <w:r>
                              <w:rPr>
                                <w:sz w:val="18"/>
                                <w:szCs w:val="18"/>
                              </w:rPr>
                              <w:t xml:space="preserve"> [Accessed 10 May 2025] </w:t>
                            </w:r>
                          </w:p>
                        </w:tc>
                      </w:tr>
                      <w:tr w:rsidR="00502B16" w14:paraId="4C37FAD5" w14:textId="77777777">
                        <w:tc>
                          <w:tcPr>
                            <w:tcW w:w="9468" w:type="dxa"/>
                          </w:tcPr>
                          <w:p w14:paraId="3EAA1E1E" w14:textId="77777777" w:rsidR="00502B16" w:rsidRDefault="00502B16" w:rsidP="00F70CAD">
                            <w:pPr>
                              <w:pStyle w:val="BulletPoints"/>
                              <w:numPr>
                                <w:ilvl w:val="0"/>
                                <w:numId w:val="0"/>
                              </w:numPr>
                              <w:tabs>
                                <w:tab w:val="left" w:pos="1019"/>
                              </w:tabs>
                              <w:spacing w:after="0"/>
                              <w:ind w:left="720" w:hanging="720"/>
                              <w:jc w:val="left"/>
                              <w:rPr>
                                <w:rFonts w:ascii="Calibri" w:hAnsi="Calibri" w:cs="Calibri"/>
                                <w:b/>
                                <w:bCs/>
                                <w:iCs/>
                                <w:color w:val="800080"/>
                                <w:sz w:val="22"/>
                                <w:szCs w:val="22"/>
                              </w:rPr>
                            </w:pPr>
                          </w:p>
                          <w:p w14:paraId="1F523BE4" w14:textId="77777777" w:rsidR="00502B16" w:rsidRDefault="00502B16" w:rsidP="00F70CAD">
                            <w:pPr>
                              <w:pStyle w:val="BulletPoints"/>
                              <w:numPr>
                                <w:ilvl w:val="0"/>
                                <w:numId w:val="0"/>
                              </w:numPr>
                              <w:tabs>
                                <w:tab w:val="left" w:pos="1019"/>
                              </w:tabs>
                              <w:spacing w:after="0"/>
                              <w:ind w:left="720" w:hanging="720"/>
                              <w:jc w:val="left"/>
                              <w:rPr>
                                <w:rFonts w:ascii="Calibri" w:hAnsi="Calibri" w:cs="Calibri"/>
                                <w:b/>
                                <w:bCs/>
                                <w:iCs/>
                                <w:color w:val="800080"/>
                                <w:sz w:val="22"/>
                                <w:szCs w:val="22"/>
                              </w:rPr>
                            </w:pPr>
                            <w:r w:rsidRPr="003C4DD1">
                              <w:rPr>
                                <w:rFonts w:ascii="Calibri" w:hAnsi="Calibri" w:cs="Calibri"/>
                                <w:b/>
                                <w:bCs/>
                                <w:iCs/>
                                <w:color w:val="800080"/>
                                <w:sz w:val="22"/>
                                <w:szCs w:val="22"/>
                              </w:rPr>
                              <w:t>ANNEX 1</w:t>
                            </w:r>
                          </w:p>
                          <w:p w14:paraId="30D06F3F" w14:textId="77777777" w:rsidR="00502B16" w:rsidRPr="00107158" w:rsidRDefault="00502B16" w:rsidP="00305734">
                            <w:pPr>
                              <w:shd w:val="clear" w:color="auto" w:fill="FFFFFF"/>
                              <w:spacing w:before="240" w:after="240"/>
                              <w:rPr>
                                <w:rFonts w:ascii="Arial" w:hAnsi="Arial" w:cs="Arial"/>
                                <w:b/>
                                <w:bCs/>
                                <w:i/>
                                <w:iCs/>
                                <w:sz w:val="20"/>
                                <w:szCs w:val="18"/>
                              </w:rPr>
                            </w:pPr>
                            <w:r w:rsidRPr="00107158">
                              <w:rPr>
                                <w:rFonts w:ascii="Arial" w:hAnsi="Arial" w:cs="Arial"/>
                                <w:b/>
                                <w:bCs/>
                                <w:i/>
                                <w:iCs/>
                                <w:sz w:val="20"/>
                                <w:szCs w:val="18"/>
                              </w:rPr>
                              <w:t>Prior to the research commencing, this research was self-assessed as low risk using the Massey University Human Ethics Committee checklist and evaluated by peer review. The MUHEC were notified about the project (Massey University Ethics Notification Number 4000030317). The author of this report is responsible for the ethical conduct of this research, which was conducted in accordance with the principles of privacy, informed consent and harm avoidance.</w:t>
                            </w:r>
                          </w:p>
                          <w:p w14:paraId="4748A06C" w14:textId="77777777" w:rsidR="00502B16" w:rsidRDefault="00502B16" w:rsidP="00F70CAD">
                            <w:pPr>
                              <w:pStyle w:val="NormalWeb"/>
                              <w:shd w:val="clear" w:color="auto" w:fill="FFFFFF"/>
                            </w:pPr>
                            <w:r>
                              <w:rPr>
                                <w:rFonts w:ascii="Arial" w:hAnsi="Arial" w:cs="Arial"/>
                                <w:b/>
                                <w:bCs/>
                                <w:i/>
                                <w:iCs/>
                                <w:sz w:val="20"/>
                                <w:szCs w:val="20"/>
                              </w:rPr>
                              <w:t xml:space="preserve">If you have any concerns about the ethical conduct of this research that you want to raise with someone other than the researcher, please contact Massey University Human Ethics by email: humanethics@massey.ac.nz. </w:t>
                            </w:r>
                          </w:p>
                          <w:p w14:paraId="483F3596" w14:textId="77777777" w:rsidR="00502B16" w:rsidRPr="003C4DD1" w:rsidRDefault="00502B16" w:rsidP="00F70CAD">
                            <w:pPr>
                              <w:pStyle w:val="BulletPoints"/>
                              <w:numPr>
                                <w:ilvl w:val="0"/>
                                <w:numId w:val="0"/>
                              </w:numPr>
                              <w:tabs>
                                <w:tab w:val="left" w:pos="1019"/>
                              </w:tabs>
                              <w:spacing w:after="0"/>
                              <w:ind w:left="720" w:hanging="720"/>
                              <w:jc w:val="left"/>
                              <w:rPr>
                                <w:rFonts w:ascii="Calibri" w:hAnsi="Calibri" w:cs="Calibri"/>
                                <w:b/>
                                <w:bCs/>
                                <w:iCs/>
                                <w:color w:val="800080"/>
                                <w:sz w:val="22"/>
                                <w:szCs w:val="22"/>
                              </w:rPr>
                            </w:pPr>
                          </w:p>
                          <w:p w14:paraId="3BF799FA" w14:textId="77777777" w:rsidR="00502B16" w:rsidRDefault="00502B16" w:rsidP="00F70CAD">
                            <w:pPr>
                              <w:pStyle w:val="BulletPoints"/>
                              <w:numPr>
                                <w:ilvl w:val="0"/>
                                <w:numId w:val="0"/>
                              </w:numPr>
                              <w:tabs>
                                <w:tab w:val="left" w:pos="1019"/>
                              </w:tabs>
                              <w:spacing w:after="0"/>
                              <w:ind w:left="720" w:hanging="720"/>
                              <w:jc w:val="left"/>
                              <w:rPr>
                                <w:rFonts w:ascii="Tahoma" w:hAnsi="Tahoma" w:cs="Tahoma"/>
                                <w:i/>
                                <w:color w:val="800080"/>
                                <w:sz w:val="22"/>
                                <w:szCs w:val="22"/>
                              </w:rPr>
                            </w:pPr>
                          </w:p>
                          <w:p w14:paraId="24DAE789" w14:textId="77777777" w:rsidR="00502B16" w:rsidRDefault="00502B16" w:rsidP="00F70CAD">
                            <w:pPr>
                              <w:pStyle w:val="BulletPoints"/>
                              <w:numPr>
                                <w:ilvl w:val="0"/>
                                <w:numId w:val="0"/>
                              </w:numPr>
                              <w:spacing w:after="0"/>
                              <w:jc w:val="left"/>
                              <w:rPr>
                                <w:rFonts w:ascii="Tahoma" w:hAnsi="Tahoma" w:cs="Tahoma"/>
                                <w:i/>
                                <w:color w:val="800080"/>
                                <w:sz w:val="22"/>
                                <w:szCs w:val="22"/>
                              </w:rPr>
                            </w:pPr>
                          </w:p>
                          <w:p w14:paraId="7CF132D4" w14:textId="77777777" w:rsidR="00502B16" w:rsidRPr="00511A84" w:rsidRDefault="00502B16" w:rsidP="00F70CAD">
                            <w:pPr>
                              <w:pStyle w:val="BulletPoints"/>
                              <w:numPr>
                                <w:ilvl w:val="0"/>
                                <w:numId w:val="0"/>
                              </w:numPr>
                              <w:spacing w:after="0"/>
                              <w:ind w:left="720" w:hanging="720"/>
                              <w:jc w:val="left"/>
                              <w:rPr>
                                <w:rFonts w:ascii="Tahoma" w:hAnsi="Tahoma" w:cs="Tahoma"/>
                                <w:i/>
                                <w:color w:val="800080"/>
                                <w:sz w:val="22"/>
                                <w:szCs w:val="22"/>
                              </w:rPr>
                            </w:pPr>
                          </w:p>
                        </w:tc>
                      </w:tr>
                      <w:tr w:rsidR="00502B16" w14:paraId="50C5D4E5" w14:textId="77777777">
                        <w:tc>
                          <w:tcPr>
                            <w:tcW w:w="9468" w:type="dxa"/>
                          </w:tcPr>
                          <w:p w14:paraId="1A9E94F9" w14:textId="77777777" w:rsidR="00502B16" w:rsidRPr="00165486" w:rsidRDefault="00502B16" w:rsidP="00F70CAD">
                            <w:pPr>
                              <w:pStyle w:val="BulletPoints"/>
                              <w:numPr>
                                <w:ilvl w:val="0"/>
                                <w:numId w:val="0"/>
                              </w:numPr>
                              <w:spacing w:after="0"/>
                              <w:jc w:val="left"/>
                              <w:rPr>
                                <w:rFonts w:ascii="Tahoma" w:hAnsi="Tahoma" w:cs="Tahoma"/>
                                <w:i/>
                                <w:color w:val="800080"/>
                                <w:sz w:val="22"/>
                                <w:szCs w:val="22"/>
                              </w:rPr>
                            </w:pPr>
                          </w:p>
                        </w:tc>
                      </w:tr>
                    </w:tbl>
                    <w:p w14:paraId="5085371F" w14:textId="77777777" w:rsidR="00502B16" w:rsidRDefault="00502B16" w:rsidP="00502B16"/>
                  </w:txbxContent>
                </v:textbox>
              </v:shape>
            </w:pict>
          </mc:Fallback>
        </mc:AlternateContent>
      </w:r>
    </w:p>
    <w:p w14:paraId="37F93515" w14:textId="70542025" w:rsidR="00C96608" w:rsidRDefault="00C96608" w:rsidP="00B90C33">
      <w:pPr>
        <w:pStyle w:val="Heading3"/>
        <w:spacing w:after="0"/>
        <w:jc w:val="left"/>
      </w:pPr>
    </w:p>
    <w:sectPr w:rsidR="00C96608" w:rsidSect="00AA704D">
      <w:type w:val="continuous"/>
      <w:pgSz w:w="11907" w:h="16840" w:code="9"/>
      <w:pgMar w:top="720" w:right="720" w:bottom="720" w:left="720" w:header="567" w:footer="0" w:gutter="0"/>
      <w:pgNumType w:start="1"/>
      <w:cols w:num="2"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2720" w14:textId="77777777" w:rsidR="0008580E" w:rsidRDefault="0008580E">
      <w:r>
        <w:separator/>
      </w:r>
    </w:p>
  </w:endnote>
  <w:endnote w:type="continuationSeparator" w:id="0">
    <w:p w14:paraId="6BE1B230" w14:textId="77777777" w:rsidR="0008580E" w:rsidRDefault="0008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C0" w14:textId="77777777" w:rsidR="00C035A9" w:rsidRDefault="00C035A9" w:rsidP="001E5D69">
    <w:pPr>
      <w:pStyle w:val="Footer"/>
      <w:framePr w:wrap="none" w:vAnchor="text" w:hAnchor="margin" w:xAlign="right" w:y="1"/>
    </w:pPr>
    <w:r>
      <w:fldChar w:fldCharType="begin"/>
    </w:r>
    <w:r>
      <w:instrText xml:space="preserve">PAGE  </w:instrText>
    </w:r>
    <w:r>
      <w:fldChar w:fldCharType="separate"/>
    </w:r>
    <w:r w:rsidR="00090811">
      <w:rPr>
        <w:noProof/>
      </w:rPr>
      <w:t>3</w:t>
    </w:r>
    <w:r>
      <w:fldChar w:fldCharType="end"/>
    </w:r>
  </w:p>
  <w:p w14:paraId="37F935C1" w14:textId="77777777" w:rsidR="00C035A9" w:rsidRDefault="00C035A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F3682C" w14:paraId="7169633F" w14:textId="77777777" w:rsidTr="00F3682C">
      <w:trPr>
        <w:trHeight w:val="709"/>
      </w:trPr>
      <w:tc>
        <w:tcPr>
          <w:tcW w:w="2694" w:type="dxa"/>
          <w:shd w:val="clear" w:color="auto" w:fill="514DAA" w:themeFill="accent2" w:themeFillShade="BF"/>
        </w:tcPr>
        <w:p w14:paraId="6FE4FC77" w14:textId="0CE39F27" w:rsidR="00F3682C" w:rsidRDefault="00F3682C" w:rsidP="00047CA5">
          <w:pPr>
            <w:pStyle w:val="Footer"/>
            <w:tabs>
              <w:tab w:val="clear" w:pos="4320"/>
              <w:tab w:val="clear" w:pos="8640"/>
              <w:tab w:val="left" w:pos="2040"/>
              <w:tab w:val="right" w:pos="2478"/>
            </w:tabs>
          </w:pPr>
          <w:r w:rsidRPr="00F3682C">
            <w:rPr>
              <w:noProof/>
            </w:rPr>
            <w:drawing>
              <wp:inline distT="0" distB="0" distL="0" distR="0" wp14:anchorId="73116251" wp14:editId="7CF5B622">
                <wp:extent cx="419099" cy="426617"/>
                <wp:effectExtent l="0" t="0" r="635" b="0"/>
                <wp:docPr id="1262260951"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r w:rsidR="00047CA5">
            <w:tab/>
          </w:r>
        </w:p>
      </w:tc>
      <w:tc>
        <w:tcPr>
          <w:tcW w:w="9214" w:type="dxa"/>
          <w:shd w:val="clear" w:color="auto" w:fill="514DAA" w:themeFill="accent2" w:themeFillShade="BF"/>
        </w:tcPr>
        <w:p w14:paraId="3EB6445C" w14:textId="743C3D0A" w:rsidR="00F3682C" w:rsidRPr="00F3682C" w:rsidRDefault="00F3682C" w:rsidP="00F3682C">
          <w:pPr>
            <w:pStyle w:val="Footer"/>
            <w:rPr>
              <w:b/>
              <w:bCs/>
            </w:rPr>
          </w:pPr>
          <w:r w:rsidRPr="00F3682C">
            <w:rPr>
              <w:b/>
              <w:bCs/>
              <w:color w:val="FFFFFF" w:themeColor="background1"/>
            </w:rPr>
            <w:t xml:space="preserve">                                                                                 </w:t>
          </w:r>
          <w:r>
            <w:rPr>
              <w:b/>
              <w:bCs/>
              <w:color w:val="FFFFFF" w:themeColor="background1"/>
            </w:rPr>
            <w:t xml:space="preserve">              </w:t>
          </w:r>
          <w:r w:rsidR="00B4604C">
            <w:rPr>
              <w:b/>
              <w:bCs/>
              <w:color w:val="FFFFFF" w:themeColor="background1"/>
            </w:rPr>
            <w:t>Kiera Nelson</w:t>
          </w:r>
          <w:r w:rsidRPr="00F3682C">
            <w:rPr>
              <w:b/>
              <w:bCs/>
              <w:color w:val="FFFFFF" w:themeColor="background1"/>
            </w:rPr>
            <w:t xml:space="preserve"> | Page </w:t>
          </w:r>
        </w:p>
      </w:tc>
    </w:tr>
  </w:tbl>
  <w:p w14:paraId="37F935C2" w14:textId="39A1963F" w:rsidR="00C035A9" w:rsidRDefault="00C035A9">
    <w:pPr>
      <w:pStyle w:val="Footer"/>
      <w:tabs>
        <w:tab w:val="clear" w:pos="8640"/>
        <w:tab w:val="right" w:pos="9072"/>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F3682C" w14:paraId="0C849CCA" w14:textId="77777777" w:rsidTr="00F3682C">
      <w:trPr>
        <w:trHeight w:val="709"/>
      </w:trPr>
      <w:tc>
        <w:tcPr>
          <w:tcW w:w="2694" w:type="dxa"/>
          <w:shd w:val="clear" w:color="auto" w:fill="514DAA" w:themeFill="accent2" w:themeFillShade="BF"/>
        </w:tcPr>
        <w:p w14:paraId="1DE0B93B" w14:textId="1FCE50CA" w:rsidR="00F3682C" w:rsidRDefault="00F3682C" w:rsidP="001E5D69">
          <w:pPr>
            <w:pStyle w:val="Footer"/>
            <w:tabs>
              <w:tab w:val="clear" w:pos="4320"/>
              <w:tab w:val="clear" w:pos="8640"/>
              <w:tab w:val="right" w:pos="2478"/>
            </w:tabs>
            <w:ind w:right="360"/>
          </w:pPr>
          <w:r w:rsidRPr="00F3682C">
            <w:rPr>
              <w:noProof/>
            </w:rPr>
            <w:drawing>
              <wp:inline distT="0" distB="0" distL="0" distR="0" wp14:anchorId="1ED142DE" wp14:editId="5CFEF02D">
                <wp:extent cx="419099" cy="426617"/>
                <wp:effectExtent l="0" t="0" r="635" b="0"/>
                <wp:docPr id="509425888"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p>
      </w:tc>
      <w:tc>
        <w:tcPr>
          <w:tcW w:w="9214" w:type="dxa"/>
          <w:shd w:val="clear" w:color="auto" w:fill="514DAA" w:themeFill="accent2" w:themeFillShade="BF"/>
        </w:tcPr>
        <w:p w14:paraId="512ED3EA" w14:textId="10217944" w:rsidR="00047CA5" w:rsidRPr="00047CA5" w:rsidRDefault="00F3682C" w:rsidP="00B4604C">
          <w:pPr>
            <w:pStyle w:val="Footer"/>
          </w:pPr>
          <w:r w:rsidRPr="00F3682C">
            <w:rPr>
              <w:b/>
              <w:bCs/>
              <w:color w:val="FFFFFF" w:themeColor="background1"/>
            </w:rPr>
            <w:t xml:space="preserve">                                                                                 </w:t>
          </w:r>
          <w:r w:rsidR="001E5D69">
            <w:rPr>
              <w:b/>
              <w:bCs/>
              <w:color w:val="FFFFFF" w:themeColor="background1"/>
            </w:rPr>
            <w:t xml:space="preserve">                </w:t>
          </w:r>
          <w:r w:rsidR="00FE0598" w:rsidRPr="001E5D69">
            <w:rPr>
              <w:b/>
              <w:bCs/>
              <w:color w:val="FFFFFF" w:themeColor="background1"/>
            </w:rPr>
            <w:t>Kiera Nelson</w:t>
          </w:r>
          <w:r w:rsidRPr="001E5D69">
            <w:rPr>
              <w:b/>
              <w:bCs/>
              <w:color w:val="FFFFFF" w:themeColor="background1"/>
            </w:rPr>
            <w:t xml:space="preserve"> | Pag</w:t>
          </w:r>
          <w:r w:rsidR="00B4604C" w:rsidRPr="001E5D69">
            <w:rPr>
              <w:b/>
              <w:bCs/>
              <w:color w:val="FFFFFF" w:themeColor="background1"/>
            </w:rPr>
            <w:t>e</w:t>
          </w:r>
          <w:r w:rsidR="00B4604C">
            <w:rPr>
              <w:b/>
              <w:bCs/>
              <w:color w:val="FFFFFF" w:themeColor="background1"/>
            </w:rPr>
            <w:t xml:space="preserve"> </w:t>
          </w:r>
          <w:r w:rsidR="00220C07">
            <w:rPr>
              <w:b/>
              <w:bCs/>
              <w:color w:val="FFFFFF" w:themeColor="background1"/>
            </w:rPr>
            <w:t>1</w:t>
          </w:r>
        </w:p>
      </w:tc>
    </w:tr>
  </w:tbl>
  <w:p w14:paraId="37F935CA" w14:textId="44E48AD9" w:rsidR="00C035A9" w:rsidRDefault="00F3682C" w:rsidP="00F3682C">
    <w:pPr>
      <w:pStyle w:val="Footer"/>
      <w:rPr>
        <w:sz w:val="18"/>
      </w:rPr>
    </w:pPr>
    <w: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color w:val="FFFFFF" w:themeColor="background1"/>
      </w:rPr>
      <w:id w:val="279388958"/>
      <w:docPartObj>
        <w:docPartGallery w:val="Page Numbers (Bottom of Page)"/>
        <w:docPartUnique/>
      </w:docPartObj>
    </w:sdtPr>
    <w:sdtContent>
      <w:p w14:paraId="0E54B7AB" w14:textId="6807A719" w:rsidR="001E5D69" w:rsidRPr="001E5D69" w:rsidRDefault="001E5D69" w:rsidP="001E5D69">
        <w:pPr>
          <w:pStyle w:val="Footer"/>
          <w:framePr w:wrap="none" w:vAnchor="text" w:hAnchor="page" w:x="11217" w:y="3"/>
          <w:rPr>
            <w:rStyle w:val="PageNumber"/>
            <w:b/>
            <w:bCs/>
            <w:color w:val="FFFFFF" w:themeColor="background1"/>
          </w:rPr>
        </w:pPr>
        <w:r w:rsidRPr="001E5D69">
          <w:rPr>
            <w:rStyle w:val="PageNumber"/>
            <w:b/>
            <w:bCs/>
            <w:color w:val="FFFFFF" w:themeColor="background1"/>
          </w:rPr>
          <w:fldChar w:fldCharType="begin"/>
        </w:r>
        <w:r w:rsidRPr="001E5D69">
          <w:rPr>
            <w:rStyle w:val="PageNumber"/>
            <w:b/>
            <w:bCs/>
            <w:color w:val="FFFFFF" w:themeColor="background1"/>
          </w:rPr>
          <w:instrText xml:space="preserve"> PAGE </w:instrText>
        </w:r>
        <w:r w:rsidRPr="001E5D69">
          <w:rPr>
            <w:rStyle w:val="PageNumber"/>
            <w:b/>
            <w:bCs/>
            <w:color w:val="FFFFFF" w:themeColor="background1"/>
          </w:rPr>
          <w:fldChar w:fldCharType="separate"/>
        </w:r>
        <w:r w:rsidRPr="001E5D69">
          <w:rPr>
            <w:rStyle w:val="PageNumber"/>
            <w:b/>
            <w:bCs/>
            <w:noProof/>
            <w:color w:val="FFFFFF" w:themeColor="background1"/>
          </w:rPr>
          <w:t>2</w:t>
        </w:r>
        <w:r w:rsidRPr="001E5D69">
          <w:rPr>
            <w:rStyle w:val="PageNumber"/>
            <w:b/>
            <w:bCs/>
            <w:color w:val="FFFFFF" w:themeColor="background1"/>
          </w:rPr>
          <w:fldChar w:fldCharType="end"/>
        </w:r>
      </w:p>
    </w:sdtContent>
  </w:sdt>
  <w:tbl>
    <w:tblPr>
      <w:tblStyle w:val="TableGrid"/>
      <w:tblW w:w="11908"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B4604C" w14:paraId="005ECC29" w14:textId="77777777" w:rsidTr="00F3682C">
      <w:trPr>
        <w:trHeight w:val="709"/>
      </w:trPr>
      <w:tc>
        <w:tcPr>
          <w:tcW w:w="2694" w:type="dxa"/>
          <w:shd w:val="clear" w:color="auto" w:fill="514DAA" w:themeFill="accent2" w:themeFillShade="BF"/>
        </w:tcPr>
        <w:p w14:paraId="66B734F3" w14:textId="77777777" w:rsidR="00B4604C" w:rsidRDefault="00B4604C" w:rsidP="001E5D69">
          <w:pPr>
            <w:pStyle w:val="Footer"/>
            <w:tabs>
              <w:tab w:val="clear" w:pos="4320"/>
              <w:tab w:val="clear" w:pos="8640"/>
              <w:tab w:val="left" w:pos="2040"/>
              <w:tab w:val="right" w:pos="2478"/>
            </w:tabs>
            <w:ind w:right="360"/>
          </w:pPr>
          <w:r w:rsidRPr="00F3682C">
            <w:rPr>
              <w:noProof/>
            </w:rPr>
            <w:drawing>
              <wp:inline distT="0" distB="0" distL="0" distR="0" wp14:anchorId="363087A7" wp14:editId="7ED0F2FF">
                <wp:extent cx="419099" cy="426617"/>
                <wp:effectExtent l="0" t="0" r="635" b="0"/>
                <wp:docPr id="1144667034"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r>
            <w:tab/>
          </w:r>
        </w:p>
      </w:tc>
      <w:tc>
        <w:tcPr>
          <w:tcW w:w="9214" w:type="dxa"/>
          <w:shd w:val="clear" w:color="auto" w:fill="514DAA" w:themeFill="accent2" w:themeFillShade="BF"/>
        </w:tcPr>
        <w:p w14:paraId="1D772F50" w14:textId="52EE2FE6" w:rsidR="00B4604C" w:rsidRPr="00F3682C" w:rsidRDefault="00B4604C" w:rsidP="00F3682C">
          <w:pPr>
            <w:pStyle w:val="Footer"/>
            <w:rPr>
              <w:b/>
              <w:bCs/>
            </w:rPr>
          </w:pPr>
          <w:r w:rsidRPr="00F3682C">
            <w:rPr>
              <w:b/>
              <w:bCs/>
              <w:color w:val="FFFFFF" w:themeColor="background1"/>
            </w:rPr>
            <w:t xml:space="preserve">                                                                                 </w:t>
          </w:r>
          <w:r>
            <w:rPr>
              <w:b/>
              <w:bCs/>
              <w:color w:val="FFFFFF" w:themeColor="background1"/>
            </w:rPr>
            <w:t xml:space="preserve">              Kiera Nelson</w:t>
          </w:r>
          <w:r w:rsidRPr="00F3682C">
            <w:rPr>
              <w:b/>
              <w:bCs/>
              <w:color w:val="FFFFFF" w:themeColor="background1"/>
            </w:rPr>
            <w:t xml:space="preserve"> | Page </w:t>
          </w:r>
          <w:r w:rsidR="001E5D69">
            <w:rPr>
              <w:b/>
              <w:bCs/>
              <w:color w:val="FFFFFF" w:themeColor="background1"/>
            </w:rPr>
            <w:t xml:space="preserve"> </w:t>
          </w:r>
        </w:p>
      </w:tc>
    </w:tr>
  </w:tbl>
  <w:p w14:paraId="4FCAE7EE" w14:textId="77777777" w:rsidR="00B4604C" w:rsidRDefault="00B4604C">
    <w:pPr>
      <w:pStyle w:val="Footer"/>
      <w:tabs>
        <w:tab w:val="clear" w:pos="8640"/>
        <w:tab w:val="right" w:pos="9072"/>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176E" w14:textId="77777777" w:rsidR="0008580E" w:rsidRDefault="0008580E">
      <w:r>
        <w:separator/>
      </w:r>
    </w:p>
  </w:footnote>
  <w:footnote w:type="continuationSeparator" w:id="0">
    <w:p w14:paraId="3AF7F78F" w14:textId="77777777" w:rsidR="0008580E" w:rsidRDefault="0008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BD" w14:textId="77777777" w:rsidR="00C035A9" w:rsidRDefault="00C035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0811">
      <w:rPr>
        <w:rStyle w:val="PageNumber"/>
        <w:noProof/>
      </w:rPr>
      <w:t>3</w:t>
    </w:r>
    <w:r>
      <w:rPr>
        <w:rStyle w:val="PageNumber"/>
      </w:rPr>
      <w:fldChar w:fldCharType="end"/>
    </w:r>
  </w:p>
  <w:p w14:paraId="37F935BE" w14:textId="77777777" w:rsidR="00C035A9" w:rsidRDefault="00C03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BF" w14:textId="68138929" w:rsidR="00C035A9" w:rsidRDefault="00C035A9">
    <w:pPr>
      <w:pStyle w:val="Header"/>
      <w:tabs>
        <w:tab w:val="clear" w:pos="4320"/>
        <w:tab w:val="clear" w:pos="8640"/>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B5DD" w:themeFill="accent2" w:themeFillTint="99"/>
      <w:tblLook w:val="04A0" w:firstRow="1" w:lastRow="0" w:firstColumn="1" w:lastColumn="0" w:noHBand="0" w:noVBand="1"/>
    </w:tblPr>
    <w:tblGrid>
      <w:gridCol w:w="4050"/>
      <w:gridCol w:w="7858"/>
    </w:tblGrid>
    <w:tr w:rsidR="00831C12" w14:paraId="13E1D8B1" w14:textId="77777777" w:rsidTr="00831C12">
      <w:trPr>
        <w:trHeight w:val="1843"/>
      </w:trPr>
      <w:tc>
        <w:tcPr>
          <w:tcW w:w="4050" w:type="dxa"/>
          <w:shd w:val="clear" w:color="auto" w:fill="514DAA" w:themeFill="accent2" w:themeFillShade="BF"/>
        </w:tcPr>
        <w:p w14:paraId="564BFEC2" w14:textId="071A5B9C" w:rsidR="00831C12" w:rsidRPr="00831C12" w:rsidRDefault="00831C12" w:rsidP="00F3682C">
          <w:pPr>
            <w:ind w:left="-1523"/>
          </w:pPr>
          <w:r w:rsidRPr="00831C12">
            <w:rPr>
              <w:noProof/>
            </w:rPr>
            <w:drawing>
              <wp:anchor distT="0" distB="0" distL="114300" distR="114300" simplePos="0" relativeHeight="251658240" behindDoc="1" locked="0" layoutInCell="1" allowOverlap="1" wp14:anchorId="13B21678" wp14:editId="188C60B2">
                <wp:simplePos x="0" y="0"/>
                <wp:positionH relativeFrom="column">
                  <wp:posOffset>166370</wp:posOffset>
                </wp:positionH>
                <wp:positionV relativeFrom="paragraph">
                  <wp:posOffset>219075</wp:posOffset>
                </wp:positionV>
                <wp:extent cx="2257425" cy="767080"/>
                <wp:effectExtent l="0" t="0" r="9525" b="0"/>
                <wp:wrapThrough wrapText="bothSides">
                  <wp:wrapPolygon edited="0">
                    <wp:start x="0" y="0"/>
                    <wp:lineTo x="0" y="20921"/>
                    <wp:lineTo x="21509" y="20921"/>
                    <wp:lineTo x="21509" y="0"/>
                    <wp:lineTo x="0" y="0"/>
                  </wp:wrapPolygon>
                </wp:wrapThrough>
                <wp:docPr id="996770754" name="Picture 99677075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7425" cy="767080"/>
                        </a:xfrm>
                        <a:prstGeom prst="rect">
                          <a:avLst/>
                        </a:prstGeom>
                      </pic:spPr>
                    </pic:pic>
                  </a:graphicData>
                </a:graphic>
              </wp:anchor>
            </w:drawing>
          </w:r>
        </w:p>
      </w:tc>
      <w:tc>
        <w:tcPr>
          <w:tcW w:w="7858" w:type="dxa"/>
          <w:shd w:val="clear" w:color="auto" w:fill="514DAA" w:themeFill="accent2" w:themeFillShade="BF"/>
        </w:tcPr>
        <w:p w14:paraId="704A461C" w14:textId="77777777" w:rsidR="00831C12" w:rsidRPr="00831C12" w:rsidRDefault="00831C12">
          <w:pPr>
            <w:rPr>
              <w:rFonts w:asciiTheme="majorHAnsi" w:hAnsiTheme="majorHAnsi" w:cstheme="minorHAnsi"/>
              <w:b/>
              <w:sz w:val="28"/>
              <w:szCs w:val="28"/>
            </w:rPr>
          </w:pPr>
        </w:p>
        <w:p w14:paraId="3E71509C" w14:textId="285FDA3E" w:rsidR="00831C12" w:rsidRPr="00831C12" w:rsidRDefault="00831C12" w:rsidP="00831C12">
          <w:pPr>
            <w:spacing w:line="360" w:lineRule="auto"/>
            <w:rPr>
              <w:rFonts w:asciiTheme="majorHAnsi" w:hAnsiTheme="majorHAnsi" w:cstheme="minorHAnsi"/>
              <w:b/>
              <w:color w:val="FFFFFF" w:themeColor="background1"/>
              <w:sz w:val="26"/>
              <w:szCs w:val="26"/>
            </w:rPr>
          </w:pPr>
          <w:r w:rsidRPr="00831C12">
            <w:rPr>
              <w:rFonts w:asciiTheme="majorHAnsi" w:hAnsiTheme="majorHAnsi" w:cstheme="minorHAnsi"/>
              <w:b/>
              <w:color w:val="FFFFFF" w:themeColor="background1"/>
              <w:sz w:val="26"/>
              <w:szCs w:val="26"/>
            </w:rPr>
            <w:t>New Zealand Postgraduate Development Field Research Award</w:t>
          </w:r>
        </w:p>
        <w:p w14:paraId="26E67DF7" w14:textId="142F03B6" w:rsidR="00831C12" w:rsidRPr="00831C12" w:rsidRDefault="00831C12" w:rsidP="00831C12">
          <w:pPr>
            <w:spacing w:line="360" w:lineRule="auto"/>
            <w:rPr>
              <w:rFonts w:asciiTheme="majorHAnsi" w:hAnsiTheme="majorHAnsi" w:cstheme="minorHAnsi"/>
              <w:b/>
              <w:color w:val="FFFFFF" w:themeColor="background1"/>
              <w:sz w:val="26"/>
              <w:szCs w:val="26"/>
            </w:rPr>
          </w:pPr>
          <w:r w:rsidRPr="00831C12">
            <w:rPr>
              <w:rFonts w:asciiTheme="majorHAnsi" w:hAnsiTheme="majorHAnsi" w:cstheme="minorHAnsi"/>
              <w:b/>
              <w:color w:val="FFFFFF" w:themeColor="background1"/>
              <w:sz w:val="26"/>
              <w:szCs w:val="26"/>
            </w:rPr>
            <w:t>Policy Brief</w:t>
          </w:r>
        </w:p>
        <w:p w14:paraId="3C794892" w14:textId="409F2EB8" w:rsidR="00831C12" w:rsidRPr="00831C12" w:rsidRDefault="00831C12" w:rsidP="00831C12">
          <w:pPr>
            <w:spacing w:line="360" w:lineRule="auto"/>
            <w:rPr>
              <w:rFonts w:asciiTheme="majorHAnsi" w:hAnsiTheme="majorHAnsi" w:cstheme="minorHAnsi"/>
              <w:b/>
              <w:sz w:val="24"/>
              <w:szCs w:val="24"/>
            </w:rPr>
          </w:pPr>
          <w:r w:rsidRPr="00831C12">
            <w:rPr>
              <w:rFonts w:asciiTheme="majorHAnsi" w:hAnsiTheme="majorHAnsi" w:cstheme="minorHAnsi"/>
              <w:b/>
              <w:color w:val="FFFFFF" w:themeColor="background1"/>
              <w:sz w:val="26"/>
              <w:szCs w:val="26"/>
            </w:rPr>
            <w:t>202</w:t>
          </w:r>
          <w:r w:rsidR="00A95DCB">
            <w:rPr>
              <w:rFonts w:asciiTheme="majorHAnsi" w:hAnsiTheme="majorHAnsi" w:cstheme="minorHAnsi"/>
              <w:b/>
              <w:color w:val="FFFFFF" w:themeColor="background1"/>
              <w:sz w:val="26"/>
              <w:szCs w:val="26"/>
            </w:rPr>
            <w:t>5</w:t>
          </w:r>
          <w:r w:rsidRPr="00831C12">
            <w:rPr>
              <w:rFonts w:asciiTheme="majorHAnsi" w:hAnsiTheme="majorHAnsi" w:cstheme="minorHAnsi"/>
              <w:b/>
              <w:color w:val="FFFFFF" w:themeColor="background1"/>
              <w:sz w:val="26"/>
              <w:szCs w:val="26"/>
            </w:rPr>
            <w:t xml:space="preserve"> </w:t>
          </w:r>
        </w:p>
      </w:tc>
    </w:tr>
  </w:tbl>
  <w:p w14:paraId="7F431101" w14:textId="53073D23" w:rsidR="00F20EC1" w:rsidRDefault="00F20EC1" w:rsidP="00831C12">
    <w:pPr>
      <w:pStyle w:val="Header"/>
      <w:tabs>
        <w:tab w:val="clear" w:pos="4320"/>
        <w:tab w:val="clear" w:pos="8640"/>
        <w:tab w:val="center" w:pos="4536"/>
        <w:tab w:val="right"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D7A9" w14:textId="045935A8" w:rsidR="00B90C33" w:rsidRDefault="00B90C33">
    <w:pPr>
      <w:pStyle w:val="Header"/>
      <w:tabs>
        <w:tab w:val="clear" w:pos="4320"/>
        <w:tab w:val="clear" w:pos="8640"/>
        <w:tab w:val="center" w:pos="4680"/>
        <w:tab w:val="right" w:pos="9360"/>
      </w:tabs>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2061"/>
    <w:multiLevelType w:val="hybridMultilevel"/>
    <w:tmpl w:val="79CE74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3" w15:restartNumberingAfterBreak="0">
    <w:nsid w:val="1CEF35F0"/>
    <w:multiLevelType w:val="hybridMultilevel"/>
    <w:tmpl w:val="CE6EC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9423F7"/>
    <w:multiLevelType w:val="hybridMultilevel"/>
    <w:tmpl w:val="E8128796"/>
    <w:lvl w:ilvl="0" w:tplc="B19AE3A4">
      <w:start w:val="1"/>
      <w:numFmt w:val="bullet"/>
      <w:pStyle w:val="BulletText2"/>
      <w:lvlText w:val=""/>
      <w:lvlJc w:val="left"/>
      <w:pPr>
        <w:tabs>
          <w:tab w:val="num" w:pos="397"/>
        </w:tabs>
        <w:ind w:left="397" w:hanging="39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2C0D51"/>
    <w:multiLevelType w:val="singleLevel"/>
    <w:tmpl w:val="ED6027D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683D88"/>
    <w:multiLevelType w:val="hybridMultilevel"/>
    <w:tmpl w:val="BE4E34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B67B70"/>
    <w:multiLevelType w:val="hybridMultilevel"/>
    <w:tmpl w:val="B4BAE5A6"/>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8" w15:restartNumberingAfterBreak="0">
    <w:nsid w:val="409D76EF"/>
    <w:multiLevelType w:val="hybridMultilevel"/>
    <w:tmpl w:val="12B619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10"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1" w15:restartNumberingAfterBreak="0">
    <w:nsid w:val="643469C4"/>
    <w:multiLevelType w:val="hybridMultilevel"/>
    <w:tmpl w:val="1DB400AE"/>
    <w:lvl w:ilvl="0" w:tplc="0809000F">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984AD2"/>
    <w:multiLevelType w:val="hybridMultilevel"/>
    <w:tmpl w:val="3BA0F7D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73DB5B41"/>
    <w:multiLevelType w:val="hybridMultilevel"/>
    <w:tmpl w:val="0FAEE5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DB56409"/>
    <w:multiLevelType w:val="multilevel"/>
    <w:tmpl w:val="0AEA1B48"/>
    <w:lvl w:ilvl="0">
      <w:start w:val="1"/>
      <w:numFmt w:val="none"/>
      <w:lvlText w:val=""/>
      <w:legacy w:legacy="1" w:legacySpace="0" w:legacyIndent="0"/>
      <w:lvlJc w:val="left"/>
    </w:lvl>
    <w:lvl w:ilvl="1">
      <w:start w:val="1"/>
      <w:numFmt w:val="decimal"/>
      <w:lvlText w:val="%2."/>
      <w:lvlJc w:val="left"/>
      <w:pPr>
        <w:tabs>
          <w:tab w:val="num" w:pos="360"/>
        </w:tabs>
        <w:ind w:left="360" w:hanging="360"/>
      </w:pPr>
      <w:rPr>
        <w:rFonts w:hint="default"/>
      </w:rPr>
    </w:lvl>
    <w:lvl w:ilvl="2">
      <w:start w:val="1"/>
      <w:numFmt w:val="lowerLetter"/>
      <w:lvlText w:val="%3"/>
      <w:legacy w:legacy="1" w:legacySpace="0" w:legacyIndent="709"/>
      <w:lvlJc w:val="left"/>
      <w:pPr>
        <w:ind w:left="709" w:hanging="709"/>
      </w:pPr>
    </w:lvl>
    <w:lvl w:ilvl="3">
      <w:start w:val="1"/>
      <w:numFmt w:val="lowerRoman"/>
      <w:lvlText w:val="%4"/>
      <w:legacy w:legacy="1" w:legacySpace="0" w:legacyIndent="709"/>
      <w:lvlJc w:val="left"/>
      <w:pPr>
        <w:ind w:left="1418" w:hanging="709"/>
      </w:pPr>
    </w:lvl>
    <w:lvl w:ilvl="4">
      <w:start w:val="1"/>
      <w:numFmt w:val="none"/>
      <w:lvlText w:val="·"/>
      <w:legacy w:legacy="1" w:legacySpace="0" w:legacyIndent="709"/>
      <w:lvlJc w:val="left"/>
      <w:pPr>
        <w:ind w:left="2127" w:hanging="709"/>
      </w:pPr>
    </w:lvl>
    <w:lvl w:ilvl="5">
      <w:start w:val="1"/>
      <w:numFmt w:val="none"/>
      <w:lvlText w:val="-"/>
      <w:legacy w:legacy="1" w:legacySpace="0" w:legacyIndent="709"/>
      <w:lvlJc w:val="left"/>
      <w:pPr>
        <w:ind w:left="2836" w:hanging="709"/>
      </w:pPr>
    </w:lvl>
    <w:lvl w:ilvl="6">
      <w:start w:val="1"/>
      <w:numFmt w:val="none"/>
      <w:lvlText w:val=""/>
      <w:legacy w:legacy="1" w:legacySpace="0" w:legacyIndent="709"/>
      <w:lvlJc w:val="left"/>
      <w:pPr>
        <w:ind w:left="3545" w:hanging="709"/>
      </w:pPr>
    </w:lvl>
    <w:lvl w:ilvl="7">
      <w:start w:val="1"/>
      <w:numFmt w:val="none"/>
      <w:lvlText w:val=""/>
      <w:legacy w:legacy="1" w:legacySpace="0" w:legacyIndent="709"/>
      <w:lvlJc w:val="left"/>
      <w:pPr>
        <w:ind w:left="4254" w:hanging="709"/>
      </w:pPr>
    </w:lvl>
    <w:lvl w:ilvl="8">
      <w:start w:val="1"/>
      <w:numFmt w:val="none"/>
      <w:lvlText w:val=""/>
      <w:legacy w:legacy="1" w:legacySpace="0" w:legacyIndent="709"/>
      <w:lvlJc w:val="left"/>
      <w:pPr>
        <w:ind w:left="4963" w:hanging="709"/>
      </w:pPr>
    </w:lvl>
  </w:abstractNum>
  <w:abstractNum w:abstractNumId="15" w15:restartNumberingAfterBreak="0">
    <w:nsid w:val="7DD81B5D"/>
    <w:multiLevelType w:val="hybridMultilevel"/>
    <w:tmpl w:val="F54AE0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F61043A"/>
    <w:multiLevelType w:val="hybridMultilevel"/>
    <w:tmpl w:val="56BAB10A"/>
    <w:lvl w:ilvl="0" w:tplc="1AEE703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393281">
    <w:abstractNumId w:val="10"/>
  </w:num>
  <w:num w:numId="2" w16cid:durableId="1127118208">
    <w:abstractNumId w:val="10"/>
  </w:num>
  <w:num w:numId="3" w16cid:durableId="722751457">
    <w:abstractNumId w:val="0"/>
    <w:lvlOverride w:ilvl="0">
      <w:lvl w:ilvl="0">
        <w:start w:val="1"/>
        <w:numFmt w:val="bullet"/>
        <w:lvlText w:val="-"/>
        <w:legacy w:legacy="1" w:legacySpace="0" w:legacyIndent="187"/>
        <w:lvlJc w:val="left"/>
        <w:pPr>
          <w:ind w:left="360" w:hanging="187"/>
        </w:pPr>
        <w:rPr>
          <w:rFonts w:ascii="Times New Roman" w:hAnsi="Times New Roman" w:hint="default"/>
          <w:sz w:val="24"/>
        </w:rPr>
      </w:lvl>
    </w:lvlOverride>
  </w:num>
  <w:num w:numId="4" w16cid:durableId="1789665280">
    <w:abstractNumId w:val="5"/>
  </w:num>
  <w:num w:numId="5" w16cid:durableId="1565530632">
    <w:abstractNumId w:val="0"/>
    <w:lvlOverride w:ilvl="0">
      <w:lvl w:ilvl="0">
        <w:start w:val="1"/>
        <w:numFmt w:val="bullet"/>
        <w:lvlText w:val="·"/>
        <w:legacy w:legacy="1" w:legacySpace="0" w:legacyIndent="187"/>
        <w:lvlJc w:val="left"/>
        <w:pPr>
          <w:ind w:left="360" w:hanging="187"/>
        </w:pPr>
        <w:rPr>
          <w:rFonts w:ascii="Symbol" w:hAnsi="Symbol" w:hint="default"/>
          <w:sz w:val="20"/>
        </w:rPr>
      </w:lvl>
    </w:lvlOverride>
  </w:num>
  <w:num w:numId="6" w16cid:durableId="1132139141">
    <w:abstractNumId w:val="0"/>
    <w:lvlOverride w:ilvl="0">
      <w:lvl w:ilvl="0">
        <w:start w:val="1"/>
        <w:numFmt w:val="bullet"/>
        <w:lvlText w:val="·"/>
        <w:legacy w:legacy="1" w:legacySpace="0" w:legacyIndent="187"/>
        <w:lvlJc w:val="left"/>
        <w:pPr>
          <w:ind w:left="360" w:hanging="187"/>
        </w:pPr>
        <w:rPr>
          <w:rFonts w:ascii="Arial" w:hAnsi="Arial" w:hint="default"/>
          <w:sz w:val="20"/>
        </w:rPr>
      </w:lvl>
    </w:lvlOverride>
  </w:num>
  <w:num w:numId="7" w16cid:durableId="978002402">
    <w:abstractNumId w:val="2"/>
  </w:num>
  <w:num w:numId="8" w16cid:durableId="1597327647">
    <w:abstractNumId w:val="4"/>
  </w:num>
  <w:num w:numId="9" w16cid:durableId="39285226">
    <w:abstractNumId w:val="4"/>
  </w:num>
  <w:num w:numId="10" w16cid:durableId="616184784">
    <w:abstractNumId w:val="9"/>
  </w:num>
  <w:num w:numId="11" w16cid:durableId="1418206731">
    <w:abstractNumId w:val="14"/>
  </w:num>
  <w:num w:numId="12" w16cid:durableId="1120684704">
    <w:abstractNumId w:val="9"/>
  </w:num>
  <w:num w:numId="13" w16cid:durableId="105854689">
    <w:abstractNumId w:val="9"/>
  </w:num>
  <w:num w:numId="14" w16cid:durableId="1345746380">
    <w:abstractNumId w:val="12"/>
  </w:num>
  <w:num w:numId="15" w16cid:durableId="1291666831">
    <w:abstractNumId w:val="7"/>
  </w:num>
  <w:num w:numId="16" w16cid:durableId="1933005826">
    <w:abstractNumId w:val="9"/>
  </w:num>
  <w:num w:numId="17" w16cid:durableId="389691328">
    <w:abstractNumId w:val="1"/>
  </w:num>
  <w:num w:numId="18" w16cid:durableId="2071490570">
    <w:abstractNumId w:val="13"/>
  </w:num>
  <w:num w:numId="19" w16cid:durableId="894854224">
    <w:abstractNumId w:val="3"/>
  </w:num>
  <w:num w:numId="20" w16cid:durableId="1534922000">
    <w:abstractNumId w:val="8"/>
  </w:num>
  <w:num w:numId="21" w16cid:durableId="520358308">
    <w:abstractNumId w:val="15"/>
  </w:num>
  <w:num w:numId="22" w16cid:durableId="1680965357">
    <w:abstractNumId w:val="16"/>
  </w:num>
  <w:num w:numId="23" w16cid:durableId="586811722">
    <w:abstractNumId w:val="11"/>
  </w:num>
  <w:num w:numId="24" w16cid:durableId="1836797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NDUzMTY0MjEyNzBX0lEKTi0uzszPAymwrAUAZHPU9SwAAAA="/>
    <w:docVar w:name="dvFooter" w:val="2641964v1"/>
    <w:docVar w:name="paperpile-doc-id" w:val="L638Z985O376S199"/>
    <w:docVar w:name="paperpile-doc-name" w:val="Policy Brief Template_.docx"/>
  </w:docVars>
  <w:rsids>
    <w:rsidRoot w:val="00DD496C"/>
    <w:rsid w:val="00000712"/>
    <w:rsid w:val="00002CE5"/>
    <w:rsid w:val="000045A7"/>
    <w:rsid w:val="0000608A"/>
    <w:rsid w:val="00006F04"/>
    <w:rsid w:val="00012024"/>
    <w:rsid w:val="000137BE"/>
    <w:rsid w:val="00015CA3"/>
    <w:rsid w:val="00016B28"/>
    <w:rsid w:val="00016C48"/>
    <w:rsid w:val="000222DB"/>
    <w:rsid w:val="00023BAF"/>
    <w:rsid w:val="0003056A"/>
    <w:rsid w:val="00030BC4"/>
    <w:rsid w:val="00032A1C"/>
    <w:rsid w:val="00036305"/>
    <w:rsid w:val="0004089D"/>
    <w:rsid w:val="0004325F"/>
    <w:rsid w:val="00043E86"/>
    <w:rsid w:val="00045331"/>
    <w:rsid w:val="00045B85"/>
    <w:rsid w:val="00047CA5"/>
    <w:rsid w:val="00055EF1"/>
    <w:rsid w:val="000577A3"/>
    <w:rsid w:val="00057DE3"/>
    <w:rsid w:val="00062D5C"/>
    <w:rsid w:val="0007043C"/>
    <w:rsid w:val="00070DD4"/>
    <w:rsid w:val="00076613"/>
    <w:rsid w:val="00083575"/>
    <w:rsid w:val="00083B99"/>
    <w:rsid w:val="0008580E"/>
    <w:rsid w:val="00090811"/>
    <w:rsid w:val="00092CC5"/>
    <w:rsid w:val="00093589"/>
    <w:rsid w:val="00093F56"/>
    <w:rsid w:val="000944BE"/>
    <w:rsid w:val="00096C50"/>
    <w:rsid w:val="000A78D6"/>
    <w:rsid w:val="000B1186"/>
    <w:rsid w:val="000B2E34"/>
    <w:rsid w:val="000B6446"/>
    <w:rsid w:val="000C2E53"/>
    <w:rsid w:val="000C6855"/>
    <w:rsid w:val="000D3CAC"/>
    <w:rsid w:val="000D4649"/>
    <w:rsid w:val="000D4751"/>
    <w:rsid w:val="000E4059"/>
    <w:rsid w:val="000E4751"/>
    <w:rsid w:val="000F15F6"/>
    <w:rsid w:val="000F2FE0"/>
    <w:rsid w:val="00100507"/>
    <w:rsid w:val="00100F2D"/>
    <w:rsid w:val="00102E2E"/>
    <w:rsid w:val="00104494"/>
    <w:rsid w:val="00106CA5"/>
    <w:rsid w:val="00106F11"/>
    <w:rsid w:val="00107158"/>
    <w:rsid w:val="0011133E"/>
    <w:rsid w:val="001127D3"/>
    <w:rsid w:val="0011303A"/>
    <w:rsid w:val="001161FF"/>
    <w:rsid w:val="00117A0D"/>
    <w:rsid w:val="00123440"/>
    <w:rsid w:val="00123769"/>
    <w:rsid w:val="00125DAD"/>
    <w:rsid w:val="00127EF5"/>
    <w:rsid w:val="00131BA0"/>
    <w:rsid w:val="00135366"/>
    <w:rsid w:val="001418ED"/>
    <w:rsid w:val="00141F06"/>
    <w:rsid w:val="001466BC"/>
    <w:rsid w:val="00152A72"/>
    <w:rsid w:val="00161C6B"/>
    <w:rsid w:val="00164140"/>
    <w:rsid w:val="00165486"/>
    <w:rsid w:val="001663E4"/>
    <w:rsid w:val="00173815"/>
    <w:rsid w:val="00184F4D"/>
    <w:rsid w:val="001859CD"/>
    <w:rsid w:val="00186FB0"/>
    <w:rsid w:val="00196DA4"/>
    <w:rsid w:val="00197303"/>
    <w:rsid w:val="001B0D7F"/>
    <w:rsid w:val="001B7051"/>
    <w:rsid w:val="001C3A5C"/>
    <w:rsid w:val="001C41F8"/>
    <w:rsid w:val="001C5D15"/>
    <w:rsid w:val="001D1DC5"/>
    <w:rsid w:val="001D1E0B"/>
    <w:rsid w:val="001D3084"/>
    <w:rsid w:val="001D3947"/>
    <w:rsid w:val="001D5192"/>
    <w:rsid w:val="001D7B8C"/>
    <w:rsid w:val="001E13CA"/>
    <w:rsid w:val="001E21A1"/>
    <w:rsid w:val="001E58AF"/>
    <w:rsid w:val="001E5A5D"/>
    <w:rsid w:val="001E5D69"/>
    <w:rsid w:val="001F14F7"/>
    <w:rsid w:val="001F200D"/>
    <w:rsid w:val="001F7183"/>
    <w:rsid w:val="00200EE2"/>
    <w:rsid w:val="00200F5B"/>
    <w:rsid w:val="00203350"/>
    <w:rsid w:val="00203687"/>
    <w:rsid w:val="00206F1C"/>
    <w:rsid w:val="00213570"/>
    <w:rsid w:val="00213EB4"/>
    <w:rsid w:val="00215369"/>
    <w:rsid w:val="00215A2F"/>
    <w:rsid w:val="00220C07"/>
    <w:rsid w:val="002273FF"/>
    <w:rsid w:val="00227604"/>
    <w:rsid w:val="00230AF8"/>
    <w:rsid w:val="0024108F"/>
    <w:rsid w:val="002447E6"/>
    <w:rsid w:val="00244A5F"/>
    <w:rsid w:val="002505FD"/>
    <w:rsid w:val="00256040"/>
    <w:rsid w:val="00257CBC"/>
    <w:rsid w:val="00257FC1"/>
    <w:rsid w:val="00260726"/>
    <w:rsid w:val="002609DA"/>
    <w:rsid w:val="00267FD4"/>
    <w:rsid w:val="0027061E"/>
    <w:rsid w:val="00276AAF"/>
    <w:rsid w:val="0027709C"/>
    <w:rsid w:val="00282FDF"/>
    <w:rsid w:val="00283635"/>
    <w:rsid w:val="00290E6B"/>
    <w:rsid w:val="002B30C9"/>
    <w:rsid w:val="002C2799"/>
    <w:rsid w:val="002C2904"/>
    <w:rsid w:val="002C70F6"/>
    <w:rsid w:val="002C7FC3"/>
    <w:rsid w:val="002D1DBA"/>
    <w:rsid w:val="002D2F13"/>
    <w:rsid w:val="002D4231"/>
    <w:rsid w:val="002E249D"/>
    <w:rsid w:val="002E5E15"/>
    <w:rsid w:val="002F6EAA"/>
    <w:rsid w:val="002F7240"/>
    <w:rsid w:val="00300FC6"/>
    <w:rsid w:val="00300FE3"/>
    <w:rsid w:val="00305734"/>
    <w:rsid w:val="00306641"/>
    <w:rsid w:val="00311E7B"/>
    <w:rsid w:val="003139A2"/>
    <w:rsid w:val="00323580"/>
    <w:rsid w:val="00326B32"/>
    <w:rsid w:val="00326EF5"/>
    <w:rsid w:val="00327363"/>
    <w:rsid w:val="003275F9"/>
    <w:rsid w:val="00333E6A"/>
    <w:rsid w:val="00334000"/>
    <w:rsid w:val="00340EF9"/>
    <w:rsid w:val="00347848"/>
    <w:rsid w:val="0035001B"/>
    <w:rsid w:val="0035211C"/>
    <w:rsid w:val="0035325B"/>
    <w:rsid w:val="00365C27"/>
    <w:rsid w:val="0036664C"/>
    <w:rsid w:val="00370301"/>
    <w:rsid w:val="0037191D"/>
    <w:rsid w:val="00371B93"/>
    <w:rsid w:val="00383BCD"/>
    <w:rsid w:val="00386C7D"/>
    <w:rsid w:val="003879C6"/>
    <w:rsid w:val="00390607"/>
    <w:rsid w:val="00390745"/>
    <w:rsid w:val="0039436B"/>
    <w:rsid w:val="003955BA"/>
    <w:rsid w:val="003A039C"/>
    <w:rsid w:val="003A3503"/>
    <w:rsid w:val="003A53C4"/>
    <w:rsid w:val="003B0314"/>
    <w:rsid w:val="003B2104"/>
    <w:rsid w:val="003C4DD1"/>
    <w:rsid w:val="003D5582"/>
    <w:rsid w:val="003D5A27"/>
    <w:rsid w:val="003D6913"/>
    <w:rsid w:val="003E0C4B"/>
    <w:rsid w:val="003E4A04"/>
    <w:rsid w:val="003E58CE"/>
    <w:rsid w:val="003E61FF"/>
    <w:rsid w:val="003E7582"/>
    <w:rsid w:val="003F025B"/>
    <w:rsid w:val="003F307F"/>
    <w:rsid w:val="003F367C"/>
    <w:rsid w:val="003F3B42"/>
    <w:rsid w:val="00400815"/>
    <w:rsid w:val="00405ED5"/>
    <w:rsid w:val="004111DB"/>
    <w:rsid w:val="00427BBB"/>
    <w:rsid w:val="00430E4B"/>
    <w:rsid w:val="00431B3B"/>
    <w:rsid w:val="0043346B"/>
    <w:rsid w:val="00433D6B"/>
    <w:rsid w:val="00435B05"/>
    <w:rsid w:val="0043715A"/>
    <w:rsid w:val="004413A5"/>
    <w:rsid w:val="00446D80"/>
    <w:rsid w:val="00447D2E"/>
    <w:rsid w:val="00450B0C"/>
    <w:rsid w:val="00456C2D"/>
    <w:rsid w:val="00457D31"/>
    <w:rsid w:val="0046358C"/>
    <w:rsid w:val="00464D84"/>
    <w:rsid w:val="00464E78"/>
    <w:rsid w:val="004716BF"/>
    <w:rsid w:val="00472CD9"/>
    <w:rsid w:val="00473FD8"/>
    <w:rsid w:val="00474141"/>
    <w:rsid w:val="00475305"/>
    <w:rsid w:val="00475804"/>
    <w:rsid w:val="004806D7"/>
    <w:rsid w:val="0048070F"/>
    <w:rsid w:val="00482E97"/>
    <w:rsid w:val="00484794"/>
    <w:rsid w:val="00484853"/>
    <w:rsid w:val="004864EA"/>
    <w:rsid w:val="00486793"/>
    <w:rsid w:val="00495C6D"/>
    <w:rsid w:val="0049664E"/>
    <w:rsid w:val="00497F44"/>
    <w:rsid w:val="004A103B"/>
    <w:rsid w:val="004A1583"/>
    <w:rsid w:val="004A2E5E"/>
    <w:rsid w:val="004B09EE"/>
    <w:rsid w:val="004B38CB"/>
    <w:rsid w:val="004C02D3"/>
    <w:rsid w:val="004C4E25"/>
    <w:rsid w:val="004C58C1"/>
    <w:rsid w:val="004D0DD7"/>
    <w:rsid w:val="004D46CF"/>
    <w:rsid w:val="004D4FD5"/>
    <w:rsid w:val="004E49FE"/>
    <w:rsid w:val="004F0674"/>
    <w:rsid w:val="004F283E"/>
    <w:rsid w:val="004F5D6F"/>
    <w:rsid w:val="004F6D80"/>
    <w:rsid w:val="00502B16"/>
    <w:rsid w:val="00504226"/>
    <w:rsid w:val="00511A84"/>
    <w:rsid w:val="0052251A"/>
    <w:rsid w:val="00530C5D"/>
    <w:rsid w:val="00537E81"/>
    <w:rsid w:val="0054302F"/>
    <w:rsid w:val="005454DE"/>
    <w:rsid w:val="00547DD2"/>
    <w:rsid w:val="005563F9"/>
    <w:rsid w:val="00560053"/>
    <w:rsid w:val="005623E3"/>
    <w:rsid w:val="005720F2"/>
    <w:rsid w:val="00574B60"/>
    <w:rsid w:val="00581AD2"/>
    <w:rsid w:val="00587700"/>
    <w:rsid w:val="00594E0D"/>
    <w:rsid w:val="00595EE1"/>
    <w:rsid w:val="005A07C2"/>
    <w:rsid w:val="005A0B1C"/>
    <w:rsid w:val="005D18DF"/>
    <w:rsid w:val="005D37FC"/>
    <w:rsid w:val="005D4958"/>
    <w:rsid w:val="005E0560"/>
    <w:rsid w:val="005F66B9"/>
    <w:rsid w:val="005F6B00"/>
    <w:rsid w:val="0060160A"/>
    <w:rsid w:val="0062132C"/>
    <w:rsid w:val="00621942"/>
    <w:rsid w:val="0062285A"/>
    <w:rsid w:val="00622F84"/>
    <w:rsid w:val="00625043"/>
    <w:rsid w:val="006344A5"/>
    <w:rsid w:val="00634917"/>
    <w:rsid w:val="006356E9"/>
    <w:rsid w:val="006365A5"/>
    <w:rsid w:val="00642B97"/>
    <w:rsid w:val="00646AC1"/>
    <w:rsid w:val="00652501"/>
    <w:rsid w:val="00655F3C"/>
    <w:rsid w:val="00662B71"/>
    <w:rsid w:val="00666458"/>
    <w:rsid w:val="00676327"/>
    <w:rsid w:val="00676739"/>
    <w:rsid w:val="00677C77"/>
    <w:rsid w:val="006840A2"/>
    <w:rsid w:val="006859B9"/>
    <w:rsid w:val="00685A13"/>
    <w:rsid w:val="00686BA5"/>
    <w:rsid w:val="00686E00"/>
    <w:rsid w:val="00694C5E"/>
    <w:rsid w:val="006A03B1"/>
    <w:rsid w:val="006A0574"/>
    <w:rsid w:val="006A1EA5"/>
    <w:rsid w:val="006A3B7F"/>
    <w:rsid w:val="006A4AF3"/>
    <w:rsid w:val="006A5F31"/>
    <w:rsid w:val="006B1CA0"/>
    <w:rsid w:val="006B1E30"/>
    <w:rsid w:val="006B2DE6"/>
    <w:rsid w:val="006C3B45"/>
    <w:rsid w:val="006C4411"/>
    <w:rsid w:val="006C4846"/>
    <w:rsid w:val="006D384D"/>
    <w:rsid w:val="006D63F2"/>
    <w:rsid w:val="006E21D7"/>
    <w:rsid w:val="006E63B2"/>
    <w:rsid w:val="006F061F"/>
    <w:rsid w:val="006F14E1"/>
    <w:rsid w:val="006F3B38"/>
    <w:rsid w:val="007038BA"/>
    <w:rsid w:val="00711D37"/>
    <w:rsid w:val="00711F4B"/>
    <w:rsid w:val="0071202F"/>
    <w:rsid w:val="00716971"/>
    <w:rsid w:val="0072317C"/>
    <w:rsid w:val="007333EB"/>
    <w:rsid w:val="007362AB"/>
    <w:rsid w:val="00745A29"/>
    <w:rsid w:val="00745C41"/>
    <w:rsid w:val="007479C6"/>
    <w:rsid w:val="00756BE9"/>
    <w:rsid w:val="00757E32"/>
    <w:rsid w:val="00761556"/>
    <w:rsid w:val="0076490C"/>
    <w:rsid w:val="00774CA4"/>
    <w:rsid w:val="0078309D"/>
    <w:rsid w:val="007852CB"/>
    <w:rsid w:val="00785559"/>
    <w:rsid w:val="00785E05"/>
    <w:rsid w:val="007870E6"/>
    <w:rsid w:val="007A0645"/>
    <w:rsid w:val="007A110D"/>
    <w:rsid w:val="007A510C"/>
    <w:rsid w:val="007B2188"/>
    <w:rsid w:val="007C0F55"/>
    <w:rsid w:val="007D1A82"/>
    <w:rsid w:val="007D2817"/>
    <w:rsid w:val="007D2AE8"/>
    <w:rsid w:val="007D2B2C"/>
    <w:rsid w:val="007E0DBD"/>
    <w:rsid w:val="007E4D9B"/>
    <w:rsid w:val="007E5E4E"/>
    <w:rsid w:val="007F2ED9"/>
    <w:rsid w:val="007F49F4"/>
    <w:rsid w:val="007F7FB4"/>
    <w:rsid w:val="008016E1"/>
    <w:rsid w:val="008063E6"/>
    <w:rsid w:val="00815B86"/>
    <w:rsid w:val="00817348"/>
    <w:rsid w:val="00831C12"/>
    <w:rsid w:val="00832098"/>
    <w:rsid w:val="008339DE"/>
    <w:rsid w:val="00837BC2"/>
    <w:rsid w:val="00850CD0"/>
    <w:rsid w:val="00855060"/>
    <w:rsid w:val="00857C19"/>
    <w:rsid w:val="00862AEC"/>
    <w:rsid w:val="0087306B"/>
    <w:rsid w:val="008815A9"/>
    <w:rsid w:val="00883930"/>
    <w:rsid w:val="00890B5B"/>
    <w:rsid w:val="00891FD1"/>
    <w:rsid w:val="0089446E"/>
    <w:rsid w:val="008967D4"/>
    <w:rsid w:val="008A27DB"/>
    <w:rsid w:val="008A38D3"/>
    <w:rsid w:val="008A4851"/>
    <w:rsid w:val="008B4D1A"/>
    <w:rsid w:val="008C08B7"/>
    <w:rsid w:val="008C3966"/>
    <w:rsid w:val="008C793A"/>
    <w:rsid w:val="008D413D"/>
    <w:rsid w:val="008D4D2B"/>
    <w:rsid w:val="008F33A0"/>
    <w:rsid w:val="008F362D"/>
    <w:rsid w:val="008F6251"/>
    <w:rsid w:val="00902EA0"/>
    <w:rsid w:val="00904080"/>
    <w:rsid w:val="0090424F"/>
    <w:rsid w:val="00911DA6"/>
    <w:rsid w:val="00921C97"/>
    <w:rsid w:val="0093277B"/>
    <w:rsid w:val="00934284"/>
    <w:rsid w:val="00934287"/>
    <w:rsid w:val="00937C39"/>
    <w:rsid w:val="00942116"/>
    <w:rsid w:val="00943751"/>
    <w:rsid w:val="0094536D"/>
    <w:rsid w:val="009506D3"/>
    <w:rsid w:val="00952FD6"/>
    <w:rsid w:val="0095394D"/>
    <w:rsid w:val="009618AF"/>
    <w:rsid w:val="00965976"/>
    <w:rsid w:val="0097327E"/>
    <w:rsid w:val="0097459B"/>
    <w:rsid w:val="00976E12"/>
    <w:rsid w:val="00980E39"/>
    <w:rsid w:val="00980F6B"/>
    <w:rsid w:val="00985EA7"/>
    <w:rsid w:val="009912BB"/>
    <w:rsid w:val="00992E76"/>
    <w:rsid w:val="00994FB7"/>
    <w:rsid w:val="00997ED7"/>
    <w:rsid w:val="009A0767"/>
    <w:rsid w:val="009A077A"/>
    <w:rsid w:val="009A1E2D"/>
    <w:rsid w:val="009A36F7"/>
    <w:rsid w:val="009A37D8"/>
    <w:rsid w:val="009A62E4"/>
    <w:rsid w:val="009A69CC"/>
    <w:rsid w:val="009B098C"/>
    <w:rsid w:val="009B226E"/>
    <w:rsid w:val="009C58AB"/>
    <w:rsid w:val="009C5D8F"/>
    <w:rsid w:val="009C657C"/>
    <w:rsid w:val="009E20C7"/>
    <w:rsid w:val="009E4026"/>
    <w:rsid w:val="009E4D13"/>
    <w:rsid w:val="009F5FCE"/>
    <w:rsid w:val="009F630C"/>
    <w:rsid w:val="00A052F7"/>
    <w:rsid w:val="00A06043"/>
    <w:rsid w:val="00A06E74"/>
    <w:rsid w:val="00A1377D"/>
    <w:rsid w:val="00A13FA2"/>
    <w:rsid w:val="00A17765"/>
    <w:rsid w:val="00A21221"/>
    <w:rsid w:val="00A21D22"/>
    <w:rsid w:val="00A33D2C"/>
    <w:rsid w:val="00A42417"/>
    <w:rsid w:val="00A44B66"/>
    <w:rsid w:val="00A45771"/>
    <w:rsid w:val="00A463F4"/>
    <w:rsid w:val="00A477AD"/>
    <w:rsid w:val="00A62056"/>
    <w:rsid w:val="00A6355E"/>
    <w:rsid w:val="00A721AC"/>
    <w:rsid w:val="00A770F8"/>
    <w:rsid w:val="00A805D6"/>
    <w:rsid w:val="00A8365F"/>
    <w:rsid w:val="00A8624B"/>
    <w:rsid w:val="00A91290"/>
    <w:rsid w:val="00A93CBA"/>
    <w:rsid w:val="00A94571"/>
    <w:rsid w:val="00A95DCB"/>
    <w:rsid w:val="00A96BBA"/>
    <w:rsid w:val="00AA0D6F"/>
    <w:rsid w:val="00AA199C"/>
    <w:rsid w:val="00AA47A0"/>
    <w:rsid w:val="00AA704D"/>
    <w:rsid w:val="00AA7F57"/>
    <w:rsid w:val="00AB2363"/>
    <w:rsid w:val="00AC0CA7"/>
    <w:rsid w:val="00AC3B1B"/>
    <w:rsid w:val="00AC4EA9"/>
    <w:rsid w:val="00AC79D2"/>
    <w:rsid w:val="00AD51E2"/>
    <w:rsid w:val="00AD5AE8"/>
    <w:rsid w:val="00AE075B"/>
    <w:rsid w:val="00AE14F6"/>
    <w:rsid w:val="00AE4EDF"/>
    <w:rsid w:val="00AE7F92"/>
    <w:rsid w:val="00AF3273"/>
    <w:rsid w:val="00AF5349"/>
    <w:rsid w:val="00B057D1"/>
    <w:rsid w:val="00B106D7"/>
    <w:rsid w:val="00B11866"/>
    <w:rsid w:val="00B20612"/>
    <w:rsid w:val="00B21394"/>
    <w:rsid w:val="00B2151E"/>
    <w:rsid w:val="00B2230B"/>
    <w:rsid w:val="00B2259C"/>
    <w:rsid w:val="00B22E84"/>
    <w:rsid w:val="00B3724E"/>
    <w:rsid w:val="00B4406D"/>
    <w:rsid w:val="00B4604C"/>
    <w:rsid w:val="00B521AD"/>
    <w:rsid w:val="00B5590D"/>
    <w:rsid w:val="00B628D5"/>
    <w:rsid w:val="00B657E6"/>
    <w:rsid w:val="00B65A25"/>
    <w:rsid w:val="00B663DF"/>
    <w:rsid w:val="00B66FEE"/>
    <w:rsid w:val="00B67D6A"/>
    <w:rsid w:val="00B704AF"/>
    <w:rsid w:val="00B7250B"/>
    <w:rsid w:val="00B73D0F"/>
    <w:rsid w:val="00B762EF"/>
    <w:rsid w:val="00B80B23"/>
    <w:rsid w:val="00B82C77"/>
    <w:rsid w:val="00B83D57"/>
    <w:rsid w:val="00B90435"/>
    <w:rsid w:val="00B90C33"/>
    <w:rsid w:val="00B91381"/>
    <w:rsid w:val="00B9155E"/>
    <w:rsid w:val="00BB0314"/>
    <w:rsid w:val="00BB0656"/>
    <w:rsid w:val="00BB1B1A"/>
    <w:rsid w:val="00BC2331"/>
    <w:rsid w:val="00BC6007"/>
    <w:rsid w:val="00BC6E6A"/>
    <w:rsid w:val="00BD2331"/>
    <w:rsid w:val="00BD5722"/>
    <w:rsid w:val="00BE0253"/>
    <w:rsid w:val="00BE5625"/>
    <w:rsid w:val="00BF3E06"/>
    <w:rsid w:val="00BF6FAB"/>
    <w:rsid w:val="00C035A9"/>
    <w:rsid w:val="00C059C2"/>
    <w:rsid w:val="00C07AC7"/>
    <w:rsid w:val="00C108CD"/>
    <w:rsid w:val="00C119EE"/>
    <w:rsid w:val="00C11C5A"/>
    <w:rsid w:val="00C153F2"/>
    <w:rsid w:val="00C20F1F"/>
    <w:rsid w:val="00C21CB9"/>
    <w:rsid w:val="00C242AD"/>
    <w:rsid w:val="00C336F8"/>
    <w:rsid w:val="00C40231"/>
    <w:rsid w:val="00C40520"/>
    <w:rsid w:val="00C46F1D"/>
    <w:rsid w:val="00C50DB9"/>
    <w:rsid w:val="00C60DCC"/>
    <w:rsid w:val="00C6211C"/>
    <w:rsid w:val="00C6543D"/>
    <w:rsid w:val="00C6786A"/>
    <w:rsid w:val="00C7068B"/>
    <w:rsid w:val="00C70E4B"/>
    <w:rsid w:val="00C7607C"/>
    <w:rsid w:val="00C77A79"/>
    <w:rsid w:val="00C811E0"/>
    <w:rsid w:val="00C821FC"/>
    <w:rsid w:val="00C82E91"/>
    <w:rsid w:val="00C83412"/>
    <w:rsid w:val="00C84BBF"/>
    <w:rsid w:val="00C85261"/>
    <w:rsid w:val="00C90579"/>
    <w:rsid w:val="00C96608"/>
    <w:rsid w:val="00CA77F6"/>
    <w:rsid w:val="00CA7E96"/>
    <w:rsid w:val="00CB3A1C"/>
    <w:rsid w:val="00CC1E70"/>
    <w:rsid w:val="00CE2E75"/>
    <w:rsid w:val="00CE446C"/>
    <w:rsid w:val="00CE6321"/>
    <w:rsid w:val="00CE656F"/>
    <w:rsid w:val="00CF05B4"/>
    <w:rsid w:val="00CF3C0D"/>
    <w:rsid w:val="00D02F72"/>
    <w:rsid w:val="00D0554C"/>
    <w:rsid w:val="00D2427E"/>
    <w:rsid w:val="00D318C4"/>
    <w:rsid w:val="00D338FF"/>
    <w:rsid w:val="00D34FFF"/>
    <w:rsid w:val="00D369CF"/>
    <w:rsid w:val="00D41056"/>
    <w:rsid w:val="00D47C34"/>
    <w:rsid w:val="00D57BEE"/>
    <w:rsid w:val="00D61C19"/>
    <w:rsid w:val="00D62A1C"/>
    <w:rsid w:val="00D6312A"/>
    <w:rsid w:val="00D640F0"/>
    <w:rsid w:val="00D6440C"/>
    <w:rsid w:val="00D709CF"/>
    <w:rsid w:val="00D768A4"/>
    <w:rsid w:val="00D825EB"/>
    <w:rsid w:val="00D948C9"/>
    <w:rsid w:val="00DA498F"/>
    <w:rsid w:val="00DA720C"/>
    <w:rsid w:val="00DB1209"/>
    <w:rsid w:val="00DB2A3C"/>
    <w:rsid w:val="00DB4BCC"/>
    <w:rsid w:val="00DB73AC"/>
    <w:rsid w:val="00DC460D"/>
    <w:rsid w:val="00DC57DB"/>
    <w:rsid w:val="00DC7314"/>
    <w:rsid w:val="00DD2291"/>
    <w:rsid w:val="00DD496C"/>
    <w:rsid w:val="00DE19B2"/>
    <w:rsid w:val="00DE6583"/>
    <w:rsid w:val="00E0466B"/>
    <w:rsid w:val="00E10B69"/>
    <w:rsid w:val="00E1343C"/>
    <w:rsid w:val="00E14346"/>
    <w:rsid w:val="00E15336"/>
    <w:rsid w:val="00E157BB"/>
    <w:rsid w:val="00E221E6"/>
    <w:rsid w:val="00E33FAF"/>
    <w:rsid w:val="00E34019"/>
    <w:rsid w:val="00E47FEA"/>
    <w:rsid w:val="00E527BC"/>
    <w:rsid w:val="00E75BAA"/>
    <w:rsid w:val="00E90356"/>
    <w:rsid w:val="00E9252A"/>
    <w:rsid w:val="00EA1FA9"/>
    <w:rsid w:val="00EA3AB8"/>
    <w:rsid w:val="00EA6E1E"/>
    <w:rsid w:val="00EA6E4F"/>
    <w:rsid w:val="00EA6EA7"/>
    <w:rsid w:val="00EB1A13"/>
    <w:rsid w:val="00EB1BC8"/>
    <w:rsid w:val="00EB3BA5"/>
    <w:rsid w:val="00EB6B3E"/>
    <w:rsid w:val="00ED2404"/>
    <w:rsid w:val="00ED4358"/>
    <w:rsid w:val="00EF29E6"/>
    <w:rsid w:val="00F018FB"/>
    <w:rsid w:val="00F07961"/>
    <w:rsid w:val="00F20EC1"/>
    <w:rsid w:val="00F24BB9"/>
    <w:rsid w:val="00F276B1"/>
    <w:rsid w:val="00F27D15"/>
    <w:rsid w:val="00F34302"/>
    <w:rsid w:val="00F3682C"/>
    <w:rsid w:val="00F375C1"/>
    <w:rsid w:val="00F41734"/>
    <w:rsid w:val="00F4178D"/>
    <w:rsid w:val="00F4213E"/>
    <w:rsid w:val="00F42E64"/>
    <w:rsid w:val="00F473AD"/>
    <w:rsid w:val="00F5029F"/>
    <w:rsid w:val="00F5193E"/>
    <w:rsid w:val="00F55AC3"/>
    <w:rsid w:val="00F57A3C"/>
    <w:rsid w:val="00F6402E"/>
    <w:rsid w:val="00F70CAD"/>
    <w:rsid w:val="00F831AD"/>
    <w:rsid w:val="00F84D04"/>
    <w:rsid w:val="00F87292"/>
    <w:rsid w:val="00F91137"/>
    <w:rsid w:val="00F96B1A"/>
    <w:rsid w:val="00FB2204"/>
    <w:rsid w:val="00FB2AB3"/>
    <w:rsid w:val="00FB40F3"/>
    <w:rsid w:val="00FB44FB"/>
    <w:rsid w:val="00FC52C0"/>
    <w:rsid w:val="00FC5D02"/>
    <w:rsid w:val="00FD6EA9"/>
    <w:rsid w:val="00FE0598"/>
    <w:rsid w:val="00FE1593"/>
    <w:rsid w:val="00FE40D7"/>
    <w:rsid w:val="00FE5143"/>
    <w:rsid w:val="00FF0AB6"/>
    <w:rsid w:val="00FF0D44"/>
    <w:rsid w:val="00FF70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93454"/>
  <w15:docId w15:val="{F0A9AFFC-E8AC-4F30-B00A-424F4976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aliases w:val="Part"/>
    <w:basedOn w:val="Normal"/>
    <w:next w:val="Heading2"/>
    <w:qFormat/>
    <w:pPr>
      <w:spacing w:after="240"/>
      <w:jc w:val="center"/>
      <w:outlineLvl w:val="0"/>
    </w:pPr>
    <w:rPr>
      <w:rFonts w:ascii="Arial" w:hAnsi="Arial"/>
      <w:b/>
      <w:color w:val="5F5F5F"/>
      <w:sz w:val="32"/>
    </w:rPr>
  </w:style>
  <w:style w:type="paragraph" w:styleId="Heading2">
    <w:name w:val="heading 2"/>
    <w:aliases w:val="Chapter Title"/>
    <w:basedOn w:val="Heading4"/>
    <w:next w:val="Heading4"/>
    <w:qFormat/>
    <w:rsid w:val="00F20EC1"/>
    <w:pPr>
      <w:outlineLvl w:val="1"/>
    </w:pPr>
  </w:style>
  <w:style w:type="paragraph" w:styleId="Heading3">
    <w:name w:val="heading 3"/>
    <w:aliases w:val="Section"/>
    <w:basedOn w:val="Normal"/>
    <w:next w:val="Heading4"/>
    <w:qFormat/>
    <w:pPr>
      <w:spacing w:after="240"/>
      <w:jc w:val="center"/>
      <w:outlineLvl w:val="2"/>
    </w:pPr>
    <w:rPr>
      <w:rFonts w:ascii="Arial" w:hAnsi="Arial"/>
      <w:b/>
      <w:color w:val="006600"/>
      <w:sz w:val="32"/>
    </w:rPr>
  </w:style>
  <w:style w:type="paragraph" w:styleId="Heading4">
    <w:name w:val="heading 4"/>
    <w:aliases w:val="Map Title"/>
    <w:basedOn w:val="Normal"/>
    <w:next w:val="Normal"/>
    <w:qFormat/>
    <w:pPr>
      <w:spacing w:after="240"/>
      <w:outlineLvl w:val="3"/>
    </w:pPr>
    <w:rPr>
      <w:rFonts w:ascii="Arial" w:hAnsi="Arial"/>
      <w:b/>
      <w:color w:val="006600"/>
      <w:sz w:val="32"/>
    </w:rPr>
  </w:style>
  <w:style w:type="paragraph" w:styleId="Heading5">
    <w:name w:val="heading 5"/>
    <w:aliases w:val="Block Label"/>
    <w:basedOn w:val="Normal"/>
    <w:next w:val="Normal"/>
    <w:qFormat/>
    <w:pPr>
      <w:outlineLvl w:val="4"/>
    </w:pPr>
    <w:rPr>
      <w:rFonts w:ascii="Arial" w:hAnsi="Arial"/>
      <w:b/>
      <w:color w:val="000080"/>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BlockLine">
    <w:name w:val="Block Line"/>
    <w:basedOn w:val="Normal"/>
    <w:next w:val="Normal"/>
    <w:pPr>
      <w:pBdr>
        <w:top w:val="single" w:sz="6" w:space="1" w:color="008080"/>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numPr>
        <w:numId w:val="2"/>
      </w:numPr>
      <w:tabs>
        <w:tab w:val="clear" w:pos="397"/>
      </w:tabs>
    </w:pPr>
  </w:style>
  <w:style w:type="paragraph" w:customStyle="1" w:styleId="BulletText2">
    <w:name w:val="Bullet Text 2"/>
    <w:basedOn w:val="BulletText1"/>
    <w:pPr>
      <w:numPr>
        <w:numId w:val="9"/>
      </w:numPr>
      <w:spacing w:before="120"/>
    </w:pPr>
  </w:style>
  <w:style w:type="paragraph" w:customStyle="1" w:styleId="ContinuedOnNextPa">
    <w:name w:val="Continued On Next Pa"/>
    <w:basedOn w:val="Normal"/>
    <w:next w:val="Normal"/>
    <w:pPr>
      <w:pBdr>
        <w:top w:val="single" w:sz="6" w:space="1" w:color="008080"/>
        <w:between w:val="single" w:sz="6" w:space="1" w:color="auto"/>
      </w:pBdr>
      <w:ind w:left="1700"/>
      <w:jc w:val="right"/>
    </w:pPr>
    <w:rPr>
      <w:rFonts w:ascii="Times New Roman" w:hAnsi="Times New Roman"/>
      <w:i/>
      <w:sz w:val="20"/>
    </w:rPr>
  </w:style>
  <w:style w:type="paragraph" w:customStyle="1" w:styleId="ContinuedTableLabe">
    <w:name w:val="Continued Table Labe"/>
    <w:basedOn w:val="Normal"/>
    <w:rPr>
      <w:rFonts w:ascii="Arial" w:hAnsi="Arial"/>
      <w:color w:val="000080"/>
    </w:rPr>
  </w:style>
  <w:style w:type="paragraph" w:customStyle="1" w:styleId="MapTitleContinued">
    <w:name w:val="Map Title. Continued"/>
    <w:basedOn w:val="Normal"/>
    <w:pPr>
      <w:spacing w:after="240"/>
    </w:pPr>
    <w:rPr>
      <w:rFonts w:ascii="Arial" w:hAnsi="Arial"/>
      <w:b/>
      <w:color w:val="006600"/>
      <w:sz w:val="32"/>
    </w:rPr>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eText">
    <w:name w:val="Table Text"/>
    <w:basedOn w:val="Normal"/>
    <w:pPr>
      <w:spacing w:before="20" w:after="20"/>
    </w:pPr>
  </w:style>
  <w:style w:type="paragraph" w:customStyle="1" w:styleId="NoteText">
    <w:name w:val="Note Text"/>
    <w:basedOn w:val="BlockText"/>
  </w:style>
  <w:style w:type="paragraph" w:customStyle="1" w:styleId="TableHeaderText">
    <w:name w:val="Table Header Text"/>
    <w:basedOn w:val="TableText"/>
    <w:pPr>
      <w:spacing w:before="60" w:after="60"/>
      <w:jc w:val="center"/>
    </w:pPr>
    <w:rPr>
      <w:b/>
      <w:color w:val="006666"/>
    </w:rPr>
  </w:style>
  <w:style w:type="paragraph" w:customStyle="1" w:styleId="EmbeddedText">
    <w:name w:val="Embedded Text"/>
    <w:basedOn w:val="TableTex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rFonts w:ascii="Tahoma" w:hAnsi="Tahoma"/>
      <w:color w:val="3333CC"/>
      <w:sz w:val="22"/>
      <w:u w:val="single"/>
    </w:rPr>
  </w:style>
  <w:style w:type="paragraph" w:customStyle="1" w:styleId="BulletText3">
    <w:name w:val="Bullet Text 3"/>
    <w:basedOn w:val="BulletText2"/>
    <w:pPr>
      <w:numPr>
        <w:numId w:val="7"/>
      </w:numPr>
      <w:spacing w:before="60"/>
    </w:pPr>
  </w:style>
  <w:style w:type="character" w:styleId="FollowedHyperlink">
    <w:name w:val="FollowedHyperlink"/>
    <w:rPr>
      <w:rFonts w:ascii="Tahoma" w:hAnsi="Tahoma"/>
      <w:color w:val="339966"/>
      <w:sz w:val="22"/>
      <w:u w:val="single"/>
    </w:rPr>
  </w:style>
  <w:style w:type="paragraph" w:customStyle="1" w:styleId="BulletPoints">
    <w:name w:val="Bullet Points"/>
    <w:basedOn w:val="Normal"/>
    <w:rsid w:val="00386C7D"/>
    <w:pPr>
      <w:numPr>
        <w:numId w:val="10"/>
      </w:numPr>
      <w:overflowPunct w:val="0"/>
      <w:autoSpaceDE w:val="0"/>
      <w:autoSpaceDN w:val="0"/>
      <w:adjustRightInd w:val="0"/>
      <w:spacing w:after="240"/>
      <w:jc w:val="both"/>
      <w:textAlignment w:val="baseline"/>
    </w:pPr>
    <w:rPr>
      <w:rFonts w:ascii="Arial" w:hAnsi="Arial"/>
      <w:sz w:val="24"/>
      <w:lang w:bidi="ar-DZ"/>
    </w:rPr>
  </w:style>
  <w:style w:type="paragraph" w:styleId="BalloonText">
    <w:name w:val="Balloon Text"/>
    <w:basedOn w:val="Normal"/>
    <w:link w:val="BalloonTextChar"/>
    <w:rsid w:val="0094536D"/>
    <w:rPr>
      <w:rFonts w:cs="Tahoma"/>
      <w:sz w:val="16"/>
      <w:szCs w:val="16"/>
    </w:rPr>
  </w:style>
  <w:style w:type="character" w:customStyle="1" w:styleId="BalloonTextChar">
    <w:name w:val="Balloon Text Char"/>
    <w:link w:val="BalloonText"/>
    <w:rsid w:val="0094536D"/>
    <w:rPr>
      <w:rFonts w:ascii="Tahoma" w:hAnsi="Tahoma" w:cs="Tahoma"/>
      <w:sz w:val="16"/>
      <w:szCs w:val="16"/>
      <w:lang w:eastAsia="en-US"/>
    </w:rPr>
  </w:style>
  <w:style w:type="character" w:customStyle="1" w:styleId="HeaderChar">
    <w:name w:val="Header Char"/>
    <w:link w:val="Header"/>
    <w:rsid w:val="004D0DD7"/>
    <w:rPr>
      <w:rFonts w:ascii="Tahoma" w:hAnsi="Tahoma"/>
      <w:sz w:val="22"/>
      <w:lang w:eastAsia="en-US"/>
    </w:rPr>
  </w:style>
  <w:style w:type="paragraph" w:styleId="Revision">
    <w:name w:val="Revision"/>
    <w:hidden/>
    <w:uiPriority w:val="99"/>
    <w:semiHidden/>
    <w:rsid w:val="004D0DD7"/>
    <w:rPr>
      <w:rFonts w:ascii="Tahoma" w:hAnsi="Tahoma"/>
      <w:sz w:val="22"/>
      <w:lang w:eastAsia="en-US"/>
    </w:rPr>
  </w:style>
  <w:style w:type="character" w:styleId="CommentReference">
    <w:name w:val="annotation reference"/>
    <w:rsid w:val="004D0DD7"/>
    <w:rPr>
      <w:sz w:val="16"/>
      <w:szCs w:val="16"/>
    </w:rPr>
  </w:style>
  <w:style w:type="paragraph" w:styleId="CommentText">
    <w:name w:val="annotation text"/>
    <w:basedOn w:val="Normal"/>
    <w:link w:val="CommentTextChar"/>
    <w:rsid w:val="004D0DD7"/>
    <w:rPr>
      <w:sz w:val="20"/>
    </w:rPr>
  </w:style>
  <w:style w:type="character" w:customStyle="1" w:styleId="CommentTextChar">
    <w:name w:val="Comment Text Char"/>
    <w:link w:val="CommentText"/>
    <w:rsid w:val="004D0DD7"/>
    <w:rPr>
      <w:rFonts w:ascii="Tahoma" w:hAnsi="Tahoma"/>
      <w:lang w:eastAsia="en-US"/>
    </w:rPr>
  </w:style>
  <w:style w:type="paragraph" w:styleId="CommentSubject">
    <w:name w:val="annotation subject"/>
    <w:basedOn w:val="CommentText"/>
    <w:next w:val="CommentText"/>
    <w:link w:val="CommentSubjectChar"/>
    <w:rsid w:val="004D0DD7"/>
    <w:rPr>
      <w:b/>
      <w:bCs/>
    </w:rPr>
  </w:style>
  <w:style w:type="character" w:customStyle="1" w:styleId="CommentSubjectChar">
    <w:name w:val="Comment Subject Char"/>
    <w:link w:val="CommentSubject"/>
    <w:rsid w:val="004D0DD7"/>
    <w:rPr>
      <w:rFonts w:ascii="Tahoma" w:hAnsi="Tahoma"/>
      <w:b/>
      <w:bCs/>
      <w:lang w:eastAsia="en-US"/>
    </w:rPr>
  </w:style>
  <w:style w:type="table" w:styleId="TableGrid">
    <w:name w:val="Table Grid"/>
    <w:basedOn w:val="TableNormal"/>
    <w:rsid w:val="00985E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7314"/>
    <w:rPr>
      <w:color w:val="605E5C"/>
      <w:shd w:val="clear" w:color="auto" w:fill="E1DFDD"/>
    </w:rPr>
  </w:style>
  <w:style w:type="character" w:customStyle="1" w:styleId="FooterChar">
    <w:name w:val="Footer Char"/>
    <w:basedOn w:val="DefaultParagraphFont"/>
    <w:link w:val="Footer"/>
    <w:uiPriority w:val="99"/>
    <w:rsid w:val="00F20EC1"/>
    <w:rPr>
      <w:rFonts w:ascii="Tahoma" w:hAnsi="Tahoma"/>
      <w:sz w:val="22"/>
      <w:lang w:eastAsia="en-US"/>
    </w:rPr>
  </w:style>
  <w:style w:type="paragraph" w:styleId="ListParagraph">
    <w:name w:val="List Paragraph"/>
    <w:basedOn w:val="Normal"/>
    <w:uiPriority w:val="34"/>
    <w:qFormat/>
    <w:rsid w:val="001D1E0B"/>
    <w:pPr>
      <w:ind w:left="720"/>
      <w:contextualSpacing/>
    </w:pPr>
  </w:style>
  <w:style w:type="paragraph" w:styleId="FootnoteText">
    <w:name w:val="footnote text"/>
    <w:basedOn w:val="Normal"/>
    <w:link w:val="FootnoteTextChar"/>
    <w:semiHidden/>
    <w:unhideWhenUsed/>
    <w:rsid w:val="000D4751"/>
    <w:rPr>
      <w:sz w:val="20"/>
    </w:rPr>
  </w:style>
  <w:style w:type="character" w:customStyle="1" w:styleId="FootnoteTextChar">
    <w:name w:val="Footnote Text Char"/>
    <w:basedOn w:val="DefaultParagraphFont"/>
    <w:link w:val="FootnoteText"/>
    <w:semiHidden/>
    <w:rsid w:val="000D4751"/>
    <w:rPr>
      <w:rFonts w:ascii="Tahoma" w:hAnsi="Tahoma"/>
      <w:lang w:eastAsia="en-US"/>
    </w:rPr>
  </w:style>
  <w:style w:type="character" w:styleId="FootnoteReference">
    <w:name w:val="footnote reference"/>
    <w:basedOn w:val="DefaultParagraphFont"/>
    <w:semiHidden/>
    <w:unhideWhenUsed/>
    <w:rsid w:val="000D4751"/>
    <w:rPr>
      <w:vertAlign w:val="superscript"/>
    </w:rPr>
  </w:style>
  <w:style w:type="paragraph" w:styleId="NormalWeb">
    <w:name w:val="Normal (Web)"/>
    <w:basedOn w:val="Normal"/>
    <w:uiPriority w:val="99"/>
    <w:unhideWhenUsed/>
    <w:rsid w:val="00D338FF"/>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119212">
      <w:bodyDiv w:val="1"/>
      <w:marLeft w:val="0"/>
      <w:marRight w:val="0"/>
      <w:marTop w:val="0"/>
      <w:marBottom w:val="0"/>
      <w:divBdr>
        <w:top w:val="none" w:sz="0" w:space="0" w:color="auto"/>
        <w:left w:val="none" w:sz="0" w:space="0" w:color="auto"/>
        <w:bottom w:val="none" w:sz="0" w:space="0" w:color="auto"/>
        <w:right w:val="none" w:sz="0" w:space="0" w:color="auto"/>
      </w:divBdr>
      <w:divsChild>
        <w:div w:id="115636743">
          <w:marLeft w:val="0"/>
          <w:marRight w:val="0"/>
          <w:marTop w:val="0"/>
          <w:marBottom w:val="0"/>
          <w:divBdr>
            <w:top w:val="none" w:sz="0" w:space="0" w:color="auto"/>
            <w:left w:val="none" w:sz="0" w:space="0" w:color="auto"/>
            <w:bottom w:val="none" w:sz="0" w:space="0" w:color="auto"/>
            <w:right w:val="none" w:sz="0" w:space="0" w:color="auto"/>
          </w:divBdr>
          <w:divsChild>
            <w:div w:id="1822192551">
              <w:marLeft w:val="0"/>
              <w:marRight w:val="0"/>
              <w:marTop w:val="0"/>
              <w:marBottom w:val="0"/>
              <w:divBdr>
                <w:top w:val="none" w:sz="0" w:space="0" w:color="auto"/>
                <w:left w:val="none" w:sz="0" w:space="0" w:color="auto"/>
                <w:bottom w:val="none" w:sz="0" w:space="0" w:color="auto"/>
                <w:right w:val="none" w:sz="0" w:space="0" w:color="auto"/>
              </w:divBdr>
              <w:divsChild>
                <w:div w:id="1532452136">
                  <w:marLeft w:val="0"/>
                  <w:marRight w:val="0"/>
                  <w:marTop w:val="0"/>
                  <w:marBottom w:val="0"/>
                  <w:divBdr>
                    <w:top w:val="none" w:sz="0" w:space="0" w:color="auto"/>
                    <w:left w:val="none" w:sz="0" w:space="0" w:color="auto"/>
                    <w:bottom w:val="none" w:sz="0" w:space="0" w:color="auto"/>
                    <w:right w:val="none" w:sz="0" w:space="0" w:color="auto"/>
                  </w:divBdr>
                  <w:divsChild>
                    <w:div w:id="12227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eprints.whiterose.ac.uk/170082"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sdg6data.org/en/country-or-area/Tong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www.sdg6data.org/en/country-or-area/Ton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ionesfoundation.com.au/case-study-eua-wate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orditonga.to/wp-content/uploads/29-_Eua-Island_Water-Tank-Project-Completion-Report.pdf" TargetMode="External"/><Relationship Id="rId28" Type="http://schemas.openxmlformats.org/officeDocument/2006/relationships/hyperlink" Target="https://sionesfoundation.com.au/case-study-eua-water/"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eprints.whiterose.ac.uk/170082" TargetMode="External"/><Relationship Id="rId27" Type="http://schemas.openxmlformats.org/officeDocument/2006/relationships/hyperlink" Target="https://www.morditonga.to/wp-content/uploads/29-_Eua-Island_Water-Tank-Project-Completion-Report.pdf"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FAT\template\Infomap.new.dot"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3545"/>
      </a:dk2>
      <a:lt2>
        <a:srgbClr val="726772"/>
      </a:lt2>
      <a:accent1>
        <a:srgbClr val="AD84C6"/>
      </a:accent1>
      <a:accent2>
        <a:srgbClr val="8784C7"/>
      </a:accent2>
      <a:accent3>
        <a:srgbClr val="5D739A"/>
      </a:accent3>
      <a:accent4>
        <a:srgbClr val="6997AF"/>
      </a:accent4>
      <a:accent5>
        <a:srgbClr val="84ACB6"/>
      </a:accent5>
      <a:accent6>
        <a:srgbClr val="6F8183"/>
      </a:accent6>
      <a:hlink>
        <a:srgbClr val="002060"/>
      </a:hlink>
      <a:folHlink>
        <a:srgbClr val="514D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E3125AE2E3A4A988B9ED6352229A3" ma:contentTypeVersion="12" ma:contentTypeDescription="Create a new document." ma:contentTypeScope="" ma:versionID="a950475c9efcf5f9a73f6cfee1464052">
  <xsd:schema xmlns:xsd="http://www.w3.org/2001/XMLSchema" xmlns:xs="http://www.w3.org/2001/XMLSchema" xmlns:p="http://schemas.microsoft.com/office/2006/metadata/properties" xmlns:ns3="4eff9629-3610-477b-8379-dfa2a083d151" xmlns:ns4="12b63033-6040-4026-bdc8-6f18134b8682" targetNamespace="http://schemas.microsoft.com/office/2006/metadata/properties" ma:root="true" ma:fieldsID="b815a09abdb4de27311cf5b0385d1174" ns3:_="" ns4:_="">
    <xsd:import namespace="4eff9629-3610-477b-8379-dfa2a083d151"/>
    <xsd:import namespace="12b63033-6040-4026-bdc8-6f18134b86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f9629-3610-477b-8379-dfa2a083d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63033-6040-4026-bdc8-6f18134b86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BB06-E77B-4CC9-82E7-6512B7426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f9629-3610-477b-8379-dfa2a083d151"/>
    <ds:schemaRef ds:uri="12b63033-6040-4026-bdc8-6f18134b8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DB361-E364-4D1E-AEF7-6C1B80468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A635A-8983-43ED-8104-55CC94BBAA58}">
  <ds:schemaRefs>
    <ds:schemaRef ds:uri="http://schemas.microsoft.com/sharepoint/v3/contenttype/forms"/>
  </ds:schemaRefs>
</ds:datastoreItem>
</file>

<file path=customXml/itemProps4.xml><?xml version="1.0" encoding="utf-8"?>
<ds:datastoreItem xmlns:ds="http://schemas.openxmlformats.org/officeDocument/2006/customXml" ds:itemID="{6E2A9419-E67B-49C2-9F74-B16BD513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C:\MFAT\template\Infomap.new.dot</Template>
  <TotalTime>0</TotalTime>
  <Pages>5</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yOUR NAME</vt:lpstr>
    </vt:vector>
  </TitlesOfParts>
  <Company>Ministry of Foreign Affairs and Trade</Company>
  <LinksUpToDate>false</LinksUpToDate>
  <CharactersWithSpaces>15597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andersi</dc:creator>
  <cp:keywords/>
  <dc:description/>
  <cp:lastModifiedBy>Kiera Nelson</cp:lastModifiedBy>
  <cp:revision>3</cp:revision>
  <cp:lastPrinted>2025-07-01T22:07:00Z</cp:lastPrinted>
  <dcterms:created xsi:type="dcterms:W3CDTF">2025-07-01T22:07:00Z</dcterms:created>
  <dcterms:modified xsi:type="dcterms:W3CDTF">2025-07-01T22:08:00Z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0x010100919E3125AE2E3A4A988B9ED6352229A3</vt:lpwstr>
  </property>
  <property fmtid="{D5CDD505-2E9C-101B-9397-08002B2CF9AE}" pid="3" name="_dlc_policyId">
    <vt:lpwstr>0x01010077AA9D1CFFA240DC80DAD99CA5F5CD00|-1830060468</vt:lpwstr>
  </property>
  <property fmtid="{D5CDD505-2E9C-101B-9397-08002B2CF9AE}" pid="4" name="ItemRetentionFormula">
    <vt:lpwstr/>
  </property>
  <property fmtid="{D5CDD505-2E9C-101B-9397-08002B2CF9AE}" pid="5" name="_dlc_DocIdItemGuid">
    <vt:lpwstr>5ad16565-20e7-493f-a51f-c575c89cbaeb</vt:lpwstr>
  </property>
  <property fmtid="{D5CDD505-2E9C-101B-9397-08002B2CF9AE}" pid="6" name="Order">
    <vt:r8>473100</vt:r8>
  </property>
  <property fmtid="{D5CDD505-2E9C-101B-9397-08002B2CF9AE}" pid="7" name="Topic">
    <vt:lpwstr>904;#Administration|dbd2b400-2f41-44be-9ffb-5d674245dc6e</vt:lpwstr>
  </property>
  <property fmtid="{D5CDD505-2E9C-101B-9397-08002B2CF9AE}" pid="8" name="FinancialYear">
    <vt:lpwstr/>
  </property>
  <property fmtid="{D5CDD505-2E9C-101B-9397-08002B2CF9AE}" pid="9" name="SecurityClassification">
    <vt:lpwstr>344;#UNCLASSIFIED|738a72fd-0042-476f-991b-551c05ade48c</vt:lpwstr>
  </property>
  <property fmtid="{D5CDD505-2E9C-101B-9397-08002B2CF9AE}" pid="10" name="Programme">
    <vt:lpwstr>2240;#Strategic Evaluation and Research|5a900277-3cfe-4758-969b-6dcd1f2e2940</vt:lpwstr>
  </property>
  <property fmtid="{D5CDD505-2E9C-101B-9397-08002B2CF9AE}" pid="11" name="CoveringClassification">
    <vt:lpwstr/>
  </property>
  <property fmtid="{D5CDD505-2E9C-101B-9397-08002B2CF9AE}" pid="12" name="SecurityCaveat">
    <vt:lpwstr/>
  </property>
  <property fmtid="{D5CDD505-2E9C-101B-9397-08002B2CF9AE}" pid="13" name="_dlc_LastRun">
    <vt:lpwstr>08/31/2019 23:28:34</vt:lpwstr>
  </property>
  <property fmtid="{D5CDD505-2E9C-101B-9397-08002B2CF9AE}" pid="14" name="_dlc_ItemStageId">
    <vt:lpwstr>1</vt:lpwstr>
  </property>
  <property fmtid="{D5CDD505-2E9C-101B-9397-08002B2CF9AE}" pid="15" name="GrammarlyDocumentId">
    <vt:lpwstr>1650c809785641c4348fad73f9bed9dd93f977bd7ef11c279579d9b7dea66773</vt:lpwstr>
  </property>
  <property fmtid="{D5CDD505-2E9C-101B-9397-08002B2CF9AE}" pid="16" name="MSIP_Label_bd9e4d68-54d0-40a5-8c9a-85a36c87352c_Enabled">
    <vt:lpwstr>true</vt:lpwstr>
  </property>
  <property fmtid="{D5CDD505-2E9C-101B-9397-08002B2CF9AE}" pid="17" name="MSIP_Label_bd9e4d68-54d0-40a5-8c9a-85a36c87352c_SetDate">
    <vt:lpwstr>2024-05-03T04:33:00Z</vt:lpwstr>
  </property>
  <property fmtid="{D5CDD505-2E9C-101B-9397-08002B2CF9AE}" pid="18" name="MSIP_Label_bd9e4d68-54d0-40a5-8c9a-85a36c87352c_Method">
    <vt:lpwstr>Standard</vt:lpwstr>
  </property>
  <property fmtid="{D5CDD505-2E9C-101B-9397-08002B2CF9AE}" pid="19" name="MSIP_Label_bd9e4d68-54d0-40a5-8c9a-85a36c87352c_Name">
    <vt:lpwstr>Unclassified</vt:lpwstr>
  </property>
  <property fmtid="{D5CDD505-2E9C-101B-9397-08002B2CF9AE}" pid="20" name="MSIP_Label_bd9e4d68-54d0-40a5-8c9a-85a36c87352c_SiteId">
    <vt:lpwstr>388728e1-bbd0-4378-98dc-f8682e644300</vt:lpwstr>
  </property>
  <property fmtid="{D5CDD505-2E9C-101B-9397-08002B2CF9AE}" pid="21" name="MSIP_Label_bd9e4d68-54d0-40a5-8c9a-85a36c87352c_ActionId">
    <vt:lpwstr>18f909c1-9e61-45bb-843a-94a63e2ec0b5</vt:lpwstr>
  </property>
  <property fmtid="{D5CDD505-2E9C-101B-9397-08002B2CF9AE}" pid="22" name="MSIP_Label_bd9e4d68-54d0-40a5-8c9a-85a36c87352c_ContentBits">
    <vt:lpwstr>0</vt:lpwstr>
  </property>
</Properties>
</file>