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93495" w14:textId="77777777" w:rsidR="003D6913" w:rsidRPr="00831C12" w:rsidRDefault="003D6913" w:rsidP="00CD7871">
      <w:pPr>
        <w:jc w:val="center"/>
        <w:sectPr w:rsidR="003D6913" w:rsidRPr="00831C12" w:rsidSect="00AA704D">
          <w:headerReference w:type="even" r:id="rId11"/>
          <w:headerReference w:type="default" r:id="rId12"/>
          <w:footerReference w:type="even" r:id="rId13"/>
          <w:footerReference w:type="default" r:id="rId14"/>
          <w:headerReference w:type="first" r:id="rId15"/>
          <w:footerReference w:type="first" r:id="rId16"/>
          <w:pgSz w:w="11907" w:h="16840" w:code="9"/>
          <w:pgMar w:top="238" w:right="1418" w:bottom="1021" w:left="1418" w:header="0" w:footer="0" w:gutter="0"/>
          <w:pgNumType w:start="1" w:chapStyle="1"/>
          <w:cols w:space="720"/>
          <w:formProt w:val="0"/>
          <w:titlePg/>
          <w:docGrid w:linePitch="299"/>
        </w:sectPr>
      </w:pPr>
    </w:p>
    <w:p w14:paraId="746777F5" w14:textId="0D75D178" w:rsidR="00473FD8" w:rsidRDefault="00CD7871" w:rsidP="00CD7871">
      <w:pPr>
        <w:ind w:firstLine="720"/>
        <w:jc w:val="center"/>
        <w:rPr>
          <w:rFonts w:asciiTheme="minorHAnsi" w:hAnsiTheme="minorHAnsi" w:cstheme="minorHAnsi"/>
          <w:sz w:val="24"/>
          <w:szCs w:val="24"/>
        </w:rPr>
      </w:pPr>
      <w:r>
        <w:rPr>
          <w:rFonts w:asciiTheme="minorHAnsi" w:hAnsiTheme="minorHAnsi" w:cstheme="minorHAnsi"/>
          <w:sz w:val="24"/>
          <w:szCs w:val="24"/>
        </w:rPr>
        <w:t>REBECCA THOMAS</w:t>
      </w:r>
      <w:r w:rsidR="00473FD8" w:rsidRPr="00383BCD">
        <w:rPr>
          <w:rFonts w:asciiTheme="minorHAnsi" w:hAnsiTheme="minorHAnsi" w:cstheme="minorHAnsi"/>
          <w:sz w:val="24"/>
          <w:szCs w:val="24"/>
        </w:rPr>
        <w:t xml:space="preserve">| </w:t>
      </w:r>
      <w:r>
        <w:rPr>
          <w:rFonts w:asciiTheme="minorHAnsi" w:hAnsiTheme="minorHAnsi" w:cstheme="minorHAnsi"/>
          <w:sz w:val="24"/>
          <w:szCs w:val="24"/>
        </w:rPr>
        <w:t>MASTER OF ARTS IN DEVELOPMENT STUDIES</w:t>
      </w:r>
      <w:r w:rsidR="00473FD8" w:rsidRPr="00383BCD">
        <w:rPr>
          <w:rFonts w:asciiTheme="minorHAnsi" w:hAnsiTheme="minorHAnsi" w:cstheme="minorHAnsi"/>
          <w:sz w:val="24"/>
          <w:szCs w:val="24"/>
        </w:rPr>
        <w:t xml:space="preserve"> |</w:t>
      </w:r>
      <w:r w:rsidR="000E3CCB">
        <w:rPr>
          <w:rFonts w:asciiTheme="minorHAnsi" w:hAnsiTheme="minorHAnsi" w:cstheme="minorHAnsi"/>
          <w:sz w:val="24"/>
          <w:szCs w:val="24"/>
        </w:rPr>
        <w:t xml:space="preserve">WAIPAPA TAUMATA RAU - </w:t>
      </w:r>
      <w:r>
        <w:rPr>
          <w:rFonts w:asciiTheme="minorHAnsi" w:hAnsiTheme="minorHAnsi" w:cstheme="minorHAnsi"/>
          <w:sz w:val="24"/>
          <w:szCs w:val="24"/>
        </w:rPr>
        <w:t>UNIVER</w:t>
      </w:r>
      <w:r w:rsidR="004C2181">
        <w:rPr>
          <w:rFonts w:asciiTheme="minorHAnsi" w:hAnsiTheme="minorHAnsi" w:cstheme="minorHAnsi"/>
          <w:sz w:val="24"/>
          <w:szCs w:val="24"/>
        </w:rPr>
        <w:t>SI</w:t>
      </w:r>
      <w:r>
        <w:rPr>
          <w:rFonts w:asciiTheme="minorHAnsi" w:hAnsiTheme="minorHAnsi" w:cstheme="minorHAnsi"/>
          <w:sz w:val="24"/>
          <w:szCs w:val="24"/>
        </w:rPr>
        <w:t>TY OF AUCKLAND</w:t>
      </w:r>
    </w:p>
    <w:p w14:paraId="6132C3E6" w14:textId="77777777" w:rsidR="00CD7871" w:rsidRPr="00383BCD" w:rsidRDefault="00CD7871" w:rsidP="00CD7871">
      <w:pPr>
        <w:ind w:firstLine="720"/>
        <w:jc w:val="center"/>
        <w:rPr>
          <w:rFonts w:asciiTheme="minorHAnsi" w:hAnsiTheme="minorHAnsi" w:cstheme="minorHAnsi"/>
          <w:sz w:val="24"/>
          <w:szCs w:val="24"/>
        </w:rPr>
      </w:pPr>
    </w:p>
    <w:p w14:paraId="2AF1ECAF" w14:textId="68B7D497" w:rsidR="006859B9" w:rsidRDefault="00F8201F" w:rsidP="00473FD8">
      <w:pPr>
        <w:ind w:firstLine="720"/>
        <w:jc w:val="center"/>
        <w:rPr>
          <w:rFonts w:asciiTheme="minorHAnsi" w:hAnsiTheme="minorHAnsi" w:cstheme="minorHAnsi"/>
          <w:b/>
          <w:bCs/>
          <w:sz w:val="24"/>
          <w:szCs w:val="24"/>
        </w:rPr>
      </w:pPr>
      <w:r w:rsidRPr="00F8201F">
        <w:rPr>
          <w:rFonts w:asciiTheme="minorHAnsi" w:hAnsiTheme="minorHAnsi" w:cstheme="minorHAnsi"/>
          <w:b/>
          <w:bCs/>
          <w:sz w:val="24"/>
          <w:szCs w:val="24"/>
        </w:rPr>
        <w:t>Climate Mobility, Adaptation and Community Resilience in Fiji</w:t>
      </w:r>
    </w:p>
    <w:p w14:paraId="3133338E" w14:textId="5C575F83" w:rsidR="009B7804" w:rsidRDefault="000A2C65" w:rsidP="009B7804">
      <w:pPr>
        <w:ind w:firstLine="720"/>
        <w:jc w:val="center"/>
        <w:rPr>
          <w:rFonts w:asciiTheme="minorHAnsi" w:hAnsiTheme="minorHAnsi" w:cstheme="minorHAnsi"/>
          <w:b/>
          <w:bCs/>
          <w:sz w:val="24"/>
          <w:szCs w:val="24"/>
        </w:rPr>
      </w:pPr>
      <w:r>
        <w:rPr>
          <w:rFonts w:asciiTheme="minorHAnsi" w:hAnsiTheme="minorHAnsi" w:cstheme="minorHAnsi"/>
          <w:b/>
          <w:bCs/>
          <w:sz w:val="24"/>
          <w:szCs w:val="24"/>
        </w:rPr>
        <w:t xml:space="preserve">Findings from the villages of </w:t>
      </w:r>
      <w:proofErr w:type="spellStart"/>
      <w:r>
        <w:rPr>
          <w:rFonts w:asciiTheme="minorHAnsi" w:hAnsiTheme="minorHAnsi" w:cstheme="minorHAnsi"/>
          <w:b/>
          <w:bCs/>
          <w:sz w:val="24"/>
          <w:szCs w:val="24"/>
        </w:rPr>
        <w:t>Galoa</w:t>
      </w:r>
      <w:proofErr w:type="spellEnd"/>
      <w:r>
        <w:rPr>
          <w:rFonts w:asciiTheme="minorHAnsi" w:hAnsiTheme="minorHAnsi" w:cstheme="minorHAnsi"/>
          <w:b/>
          <w:bCs/>
          <w:sz w:val="24"/>
          <w:szCs w:val="24"/>
        </w:rPr>
        <w:t xml:space="preserve"> and </w:t>
      </w:r>
      <w:proofErr w:type="spellStart"/>
      <w:r>
        <w:rPr>
          <w:rFonts w:asciiTheme="minorHAnsi" w:hAnsiTheme="minorHAnsi" w:cstheme="minorHAnsi"/>
          <w:b/>
          <w:bCs/>
          <w:sz w:val="24"/>
          <w:szCs w:val="24"/>
        </w:rPr>
        <w:t>Yadu</w:t>
      </w:r>
      <w:r w:rsidR="009B7804">
        <w:rPr>
          <w:rFonts w:asciiTheme="minorHAnsi" w:hAnsiTheme="minorHAnsi" w:cstheme="minorHAnsi"/>
          <w:b/>
          <w:bCs/>
          <w:sz w:val="24"/>
          <w:szCs w:val="24"/>
        </w:rPr>
        <w:t>a</w:t>
      </w:r>
      <w:proofErr w:type="spellEnd"/>
    </w:p>
    <w:p w14:paraId="3A24D5D7" w14:textId="77777777" w:rsidR="00F8201F" w:rsidRPr="00473FD8" w:rsidRDefault="00F8201F" w:rsidP="00473FD8">
      <w:pPr>
        <w:ind w:firstLine="720"/>
        <w:jc w:val="center"/>
        <w:rPr>
          <w:b/>
          <w:bCs/>
        </w:rPr>
      </w:pPr>
    </w:p>
    <w:tbl>
      <w:tblPr>
        <w:tblStyle w:val="TableGrid"/>
        <w:tblW w:w="11057" w:type="dxa"/>
        <w:tblInd w:w="-1139" w:type="dxa"/>
        <w:shd w:val="clear" w:color="auto" w:fill="D9D9D9" w:themeFill="background1" w:themeFillShade="D9"/>
        <w:tblLook w:val="04A0" w:firstRow="1" w:lastRow="0" w:firstColumn="1" w:lastColumn="0" w:noHBand="0" w:noVBand="1"/>
      </w:tblPr>
      <w:tblGrid>
        <w:gridCol w:w="11057"/>
      </w:tblGrid>
      <w:tr w:rsidR="006859B9" w:rsidRPr="00383BCD" w14:paraId="348A3D10" w14:textId="77777777" w:rsidTr="00F3682C">
        <w:tc>
          <w:tcPr>
            <w:tcW w:w="11057" w:type="dxa"/>
            <w:shd w:val="clear" w:color="auto" w:fill="D9D9D9" w:themeFill="background1" w:themeFillShade="D9"/>
          </w:tcPr>
          <w:p w14:paraId="29E4E860" w14:textId="77777777" w:rsidR="00CE7AE9" w:rsidRDefault="006859B9" w:rsidP="00CE7AE9">
            <w:pPr>
              <w:rPr>
                <w:rFonts w:asciiTheme="minorHAnsi" w:hAnsiTheme="minorHAnsi" w:cstheme="minorHAnsi"/>
                <w:color w:val="864EA8" w:themeColor="accent1" w:themeShade="BF"/>
                <w:szCs w:val="22"/>
              </w:rPr>
            </w:pPr>
            <w:r w:rsidRPr="00383BCD">
              <w:rPr>
                <w:rFonts w:asciiTheme="minorHAnsi" w:hAnsiTheme="minorHAnsi" w:cstheme="minorHAnsi"/>
                <w:b/>
                <w:color w:val="864EA8" w:themeColor="accent1" w:themeShade="BF"/>
                <w:sz w:val="24"/>
                <w:szCs w:val="24"/>
              </w:rPr>
              <w:t>Summary</w:t>
            </w:r>
            <w:r w:rsidRPr="00A62056">
              <w:rPr>
                <w:rFonts w:asciiTheme="minorHAnsi" w:hAnsiTheme="minorHAnsi" w:cstheme="minorHAnsi"/>
                <w:b/>
                <w:color w:val="864EA8" w:themeColor="accent1" w:themeShade="BF"/>
                <w:sz w:val="24"/>
                <w:szCs w:val="24"/>
              </w:rPr>
              <w:t>:</w:t>
            </w:r>
            <w:r w:rsidRPr="00A62056">
              <w:rPr>
                <w:rFonts w:asciiTheme="minorHAnsi" w:hAnsiTheme="minorHAnsi" w:cstheme="minorHAnsi"/>
                <w:b/>
                <w:color w:val="864EA8" w:themeColor="accent1" w:themeShade="BF"/>
              </w:rPr>
              <w:t xml:space="preserve"> </w:t>
            </w:r>
            <w:r w:rsidRPr="00A62056">
              <w:rPr>
                <w:rFonts w:asciiTheme="minorHAnsi" w:hAnsiTheme="minorHAnsi" w:cstheme="minorHAnsi"/>
                <w:color w:val="864EA8" w:themeColor="accent1" w:themeShade="BF"/>
                <w:szCs w:val="22"/>
              </w:rPr>
              <w:t xml:space="preserve"> </w:t>
            </w:r>
          </w:p>
          <w:p w14:paraId="298CE910" w14:textId="5498FFFB" w:rsidR="00A0273B" w:rsidRPr="00A0273B" w:rsidRDefault="00A0273B" w:rsidP="00A0273B">
            <w:pPr>
              <w:pStyle w:val="ListParagraph"/>
              <w:numPr>
                <w:ilvl w:val="0"/>
                <w:numId w:val="22"/>
              </w:numPr>
              <w:rPr>
                <w:rFonts w:asciiTheme="minorHAnsi" w:hAnsiTheme="minorHAnsi" w:cstheme="minorHAnsi"/>
                <w:szCs w:val="22"/>
              </w:rPr>
            </w:pPr>
            <w:r w:rsidRPr="00A0273B">
              <w:rPr>
                <w:rFonts w:asciiTheme="minorHAnsi" w:hAnsiTheme="minorHAnsi" w:cstheme="minorHAnsi"/>
                <w:szCs w:val="22"/>
              </w:rPr>
              <w:t xml:space="preserve">Climate mobility in Fiji is shaped by intersecting environmental, development, social, cultural, and livelihood pressures rather than climate change alone. Communities in </w:t>
            </w:r>
            <w:proofErr w:type="spellStart"/>
            <w:r w:rsidRPr="00A0273B">
              <w:rPr>
                <w:rFonts w:asciiTheme="minorHAnsi" w:hAnsiTheme="minorHAnsi" w:cstheme="minorHAnsi"/>
                <w:szCs w:val="22"/>
              </w:rPr>
              <w:t>Galoa</w:t>
            </w:r>
            <w:proofErr w:type="spellEnd"/>
            <w:r w:rsidRPr="00A0273B">
              <w:rPr>
                <w:rFonts w:asciiTheme="minorHAnsi" w:hAnsiTheme="minorHAnsi" w:cstheme="minorHAnsi"/>
                <w:szCs w:val="22"/>
              </w:rPr>
              <w:t xml:space="preserve"> and </w:t>
            </w:r>
            <w:proofErr w:type="spellStart"/>
            <w:r w:rsidRPr="00A0273B">
              <w:rPr>
                <w:rFonts w:asciiTheme="minorHAnsi" w:hAnsiTheme="minorHAnsi" w:cstheme="minorHAnsi"/>
                <w:szCs w:val="22"/>
              </w:rPr>
              <w:t>Yadua</w:t>
            </w:r>
            <w:proofErr w:type="spellEnd"/>
            <w:r w:rsidRPr="00A0273B">
              <w:rPr>
                <w:rFonts w:asciiTheme="minorHAnsi" w:hAnsiTheme="minorHAnsi" w:cstheme="minorHAnsi"/>
                <w:szCs w:val="22"/>
              </w:rPr>
              <w:t xml:space="preserve"> are already responding through locally embedded adaptation practices and mobility strategies. </w:t>
            </w:r>
          </w:p>
          <w:p w14:paraId="1DD5C230" w14:textId="17BC811D" w:rsidR="00A0273B" w:rsidRPr="00A0273B" w:rsidRDefault="00A0273B" w:rsidP="00A0273B">
            <w:pPr>
              <w:pStyle w:val="ListParagraph"/>
              <w:numPr>
                <w:ilvl w:val="0"/>
                <w:numId w:val="22"/>
              </w:numPr>
              <w:rPr>
                <w:rFonts w:asciiTheme="minorHAnsi" w:hAnsiTheme="minorHAnsi" w:cstheme="minorHAnsi"/>
                <w:szCs w:val="22"/>
              </w:rPr>
            </w:pPr>
            <w:r w:rsidRPr="00A0273B">
              <w:rPr>
                <w:rFonts w:asciiTheme="minorHAnsi" w:hAnsiTheme="minorHAnsi" w:cstheme="minorHAnsi"/>
                <w:szCs w:val="22"/>
              </w:rPr>
              <w:t>Strong attachment to Vanua</w:t>
            </w:r>
            <w:r w:rsidR="00933846">
              <w:rPr>
                <w:rFonts w:asciiTheme="minorHAnsi" w:hAnsiTheme="minorHAnsi" w:cstheme="minorHAnsi"/>
                <w:szCs w:val="22"/>
              </w:rPr>
              <w:t xml:space="preserve"> – understood here as the relational connection between land, people, ancestors, </w:t>
            </w:r>
            <w:r w:rsidR="008A0EE3">
              <w:rPr>
                <w:rFonts w:asciiTheme="minorHAnsi" w:hAnsiTheme="minorHAnsi" w:cstheme="minorHAnsi"/>
                <w:szCs w:val="22"/>
              </w:rPr>
              <w:t>identity, customary obligations and place -</w:t>
            </w:r>
            <w:r w:rsidRPr="00A0273B">
              <w:rPr>
                <w:rFonts w:asciiTheme="minorHAnsi" w:hAnsiTheme="minorHAnsi" w:cstheme="minorHAnsi"/>
                <w:szCs w:val="22"/>
              </w:rPr>
              <w:t xml:space="preserve"> underpins a preference for adaptation-in-place before relocation. In-situ adaptation, temporary movement, plantation homes, and circular mobility often operate together as layered adaptation pathways rather than as separate choices between “staying” and “moving.” </w:t>
            </w:r>
          </w:p>
          <w:p w14:paraId="2C8767D5" w14:textId="73486BEE" w:rsidR="00A0273B" w:rsidRPr="00A0273B" w:rsidRDefault="00A0273B" w:rsidP="00A0273B">
            <w:pPr>
              <w:pStyle w:val="ListParagraph"/>
              <w:numPr>
                <w:ilvl w:val="0"/>
                <w:numId w:val="22"/>
              </w:numPr>
              <w:rPr>
                <w:rFonts w:asciiTheme="minorHAnsi" w:hAnsiTheme="minorHAnsi" w:cstheme="minorHAnsi"/>
                <w:szCs w:val="22"/>
              </w:rPr>
            </w:pPr>
            <w:r w:rsidRPr="00A0273B">
              <w:rPr>
                <w:rFonts w:asciiTheme="minorHAnsi" w:hAnsiTheme="minorHAnsi" w:cstheme="minorHAnsi"/>
                <w:szCs w:val="22"/>
              </w:rPr>
              <w:t xml:space="preserve">Women, particularly younger women and mothers, emerged as central actors in sustaining adaptation, caregiving, household continuity, and community resilience. These contributions remain under-recognised in climate adaptation policy and planning. </w:t>
            </w:r>
          </w:p>
          <w:p w14:paraId="342F81A3" w14:textId="7CDC2EF9" w:rsidR="00F8201F" w:rsidRDefault="00A0273B" w:rsidP="00A0273B">
            <w:pPr>
              <w:pStyle w:val="ListParagraph"/>
              <w:numPr>
                <w:ilvl w:val="0"/>
                <w:numId w:val="22"/>
              </w:numPr>
              <w:rPr>
                <w:rFonts w:asciiTheme="minorHAnsi" w:hAnsiTheme="minorHAnsi" w:cstheme="minorHAnsi"/>
                <w:szCs w:val="22"/>
              </w:rPr>
            </w:pPr>
            <w:r w:rsidRPr="00A0273B">
              <w:rPr>
                <w:rFonts w:asciiTheme="minorHAnsi" w:hAnsiTheme="minorHAnsi" w:cstheme="minorHAnsi"/>
                <w:szCs w:val="22"/>
              </w:rPr>
              <w:t>Combining the Fijian Vanua Research Framework (FVRF) with Participatory Visual Methods including Photovoice, mobility mapping, creative artworks, and illustrated fieldwork journalling supported reciprocal, culturally grounded, and participant-led climate mobility research</w:t>
            </w:r>
            <w:r w:rsidR="004C2181">
              <w:rPr>
                <w:rFonts w:asciiTheme="minorHAnsi" w:hAnsiTheme="minorHAnsi" w:cstheme="minorHAnsi"/>
                <w:szCs w:val="22"/>
              </w:rPr>
              <w:t>.</w:t>
            </w:r>
            <w:r w:rsidRPr="00A0273B">
              <w:rPr>
                <w:rFonts w:asciiTheme="minorHAnsi" w:hAnsiTheme="minorHAnsi" w:cstheme="minorHAnsi"/>
                <w:szCs w:val="22"/>
              </w:rPr>
              <w:t xml:space="preserve"> </w:t>
            </w:r>
            <w:r w:rsidR="004C2181" w:rsidRPr="004C2181">
              <w:rPr>
                <w:rFonts w:asciiTheme="minorHAnsi" w:hAnsiTheme="minorHAnsi" w:cstheme="minorHAnsi"/>
                <w:szCs w:val="22"/>
              </w:rPr>
              <w:t xml:space="preserve">These methods revealed lived experiences and relational dimensions of adaptation often overlooked in conventional policy </w:t>
            </w:r>
            <w:r w:rsidR="0024202D" w:rsidRPr="004C2181">
              <w:rPr>
                <w:rFonts w:asciiTheme="minorHAnsi" w:hAnsiTheme="minorHAnsi" w:cstheme="minorHAnsi"/>
                <w:szCs w:val="22"/>
              </w:rPr>
              <w:t>approaches.</w:t>
            </w:r>
          </w:p>
          <w:p w14:paraId="76D3C06E" w14:textId="68EAA080" w:rsidR="00A0273B" w:rsidRPr="000A2C65" w:rsidRDefault="00A0273B" w:rsidP="00A0273B">
            <w:pPr>
              <w:pStyle w:val="ListParagraph"/>
              <w:rPr>
                <w:rFonts w:asciiTheme="minorHAnsi" w:hAnsiTheme="minorHAnsi" w:cstheme="minorHAnsi"/>
                <w:szCs w:val="22"/>
              </w:rPr>
            </w:pPr>
          </w:p>
        </w:tc>
      </w:tr>
    </w:tbl>
    <w:p w14:paraId="087EA2AA" w14:textId="77777777" w:rsidR="009B7804" w:rsidRDefault="009B7804" w:rsidP="009B7804">
      <w:pPr>
        <w:rPr>
          <w:i/>
          <w:color w:val="800080"/>
        </w:rPr>
      </w:pPr>
    </w:p>
    <w:p w14:paraId="37F934A6" w14:textId="256B9F4C" w:rsidR="00CF05B4" w:rsidRDefault="006859B9" w:rsidP="00CF05B4">
      <w:pPr>
        <w:rPr>
          <w:i/>
          <w:color w:val="800080"/>
        </w:rPr>
      </w:pPr>
      <w:r>
        <w:rPr>
          <w:i/>
          <w:noProof/>
          <w:color w:val="800080"/>
        </w:rPr>
        <mc:AlternateContent>
          <mc:Choice Requires="wps">
            <w:drawing>
              <wp:anchor distT="0" distB="0" distL="114300" distR="114300" simplePos="0" relativeHeight="251659264" behindDoc="0" locked="0" layoutInCell="1" allowOverlap="1" wp14:anchorId="78881D20" wp14:editId="00DB8701">
                <wp:simplePos x="0" y="0"/>
                <wp:positionH relativeFrom="margin">
                  <wp:align>left</wp:align>
                </wp:positionH>
                <wp:positionV relativeFrom="paragraph">
                  <wp:posOffset>6349</wp:posOffset>
                </wp:positionV>
                <wp:extent cx="5848350" cy="9525"/>
                <wp:effectExtent l="0" t="0" r="19050" b="28575"/>
                <wp:wrapNone/>
                <wp:docPr id="171758330" name="Straight Connector 2"/>
                <wp:cNvGraphicFramePr/>
                <a:graphic xmlns:a="http://schemas.openxmlformats.org/drawingml/2006/main">
                  <a:graphicData uri="http://schemas.microsoft.com/office/word/2010/wordprocessingShape">
                    <wps:wsp>
                      <wps:cNvCnPr/>
                      <wps:spPr>
                        <a:xfrm flipV="1">
                          <a:off x="0" y="0"/>
                          <a:ext cx="584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3D01" id="Straight Connector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4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" strokecolor="black [3040]">
                <w10:wrap anchorx="margin"/>
              </v:line>
            </w:pict>
          </mc:Fallback>
        </mc:AlternateContent>
      </w:r>
    </w:p>
    <w:p w14:paraId="6574200D" w14:textId="77777777" w:rsidR="00831C12" w:rsidRDefault="00831C12" w:rsidP="00CF05B4">
      <w:pPr>
        <w:pStyle w:val="BulletPoints"/>
        <w:numPr>
          <w:ilvl w:val="0"/>
          <w:numId w:val="0"/>
        </w:numPr>
        <w:jc w:val="left"/>
        <w:rPr>
          <w:b/>
        </w:rPr>
        <w:sectPr w:rsidR="00831C12" w:rsidSect="00AA704D">
          <w:type w:val="continuous"/>
          <w:pgSz w:w="11907" w:h="16840" w:code="9"/>
          <w:pgMar w:top="1418" w:right="1418" w:bottom="1276" w:left="1418" w:header="135" w:footer="397" w:gutter="0"/>
          <w:pgNumType w:start="1"/>
          <w:cols w:space="720"/>
          <w:formProt w:val="0"/>
          <w:titlePg/>
          <w:docGrid w:linePitch="299"/>
        </w:sectPr>
      </w:pPr>
    </w:p>
    <w:tbl>
      <w:tblPr>
        <w:tblW w:w="5211" w:type="dxa"/>
        <w:tblInd w:w="-108" w:type="dxa"/>
        <w:tblLayout w:type="fixed"/>
        <w:tblLook w:val="0000" w:firstRow="0" w:lastRow="0" w:firstColumn="0" w:lastColumn="0" w:noHBand="0" w:noVBand="0"/>
      </w:tblPr>
      <w:tblGrid>
        <w:gridCol w:w="108"/>
        <w:gridCol w:w="4995"/>
        <w:gridCol w:w="108"/>
      </w:tblGrid>
      <w:tr w:rsidR="006344A5" w14:paraId="37F934B3" w14:textId="77777777" w:rsidTr="00E66821">
        <w:trPr>
          <w:gridBefore w:val="1"/>
          <w:wBefore w:w="108" w:type="dxa"/>
          <w:trHeight w:val="80"/>
        </w:trPr>
        <w:tc>
          <w:tcPr>
            <w:tcW w:w="5103" w:type="dxa"/>
            <w:gridSpan w:val="2"/>
          </w:tcPr>
          <w:p w14:paraId="7B008ACA" w14:textId="77777777" w:rsidR="005623E3" w:rsidRPr="00CC57D2" w:rsidRDefault="005623E3" w:rsidP="007D0208">
            <w:pPr>
              <w:pStyle w:val="BulletPoints"/>
              <w:numPr>
                <w:ilvl w:val="0"/>
                <w:numId w:val="0"/>
              </w:numPr>
              <w:ind w:left="-105"/>
              <w:jc w:val="left"/>
              <w:rPr>
                <w:rFonts w:asciiTheme="minorHAnsi" w:hAnsiTheme="minorHAnsi" w:cstheme="minorHAnsi"/>
                <w:b/>
                <w:color w:val="864EA8" w:themeColor="accent1" w:themeShade="BF"/>
                <w:sz w:val="22"/>
                <w:szCs w:val="22"/>
              </w:rPr>
            </w:pPr>
            <w:r w:rsidRPr="00CC57D2">
              <w:rPr>
                <w:rFonts w:asciiTheme="minorHAnsi" w:hAnsiTheme="minorHAnsi" w:cstheme="minorHAnsi"/>
                <w:b/>
                <w:color w:val="864EA8" w:themeColor="accent1" w:themeShade="BF"/>
                <w:sz w:val="22"/>
                <w:szCs w:val="22"/>
              </w:rPr>
              <w:t>What is the development issue?</w:t>
            </w:r>
          </w:p>
          <w:p w14:paraId="1E312E71"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r w:rsidRPr="00CC57D2">
              <w:rPr>
                <w:rFonts w:asciiTheme="minorHAnsi" w:hAnsiTheme="minorHAnsi" w:cstheme="minorHAnsi"/>
                <w:iCs/>
                <w:sz w:val="22"/>
                <w:szCs w:val="22"/>
              </w:rPr>
              <w:t>Climate change is increasing environmental pressures across Fiji through sea-level rise, coastal erosion, flooding, saltwater intrusion, stronger cyclones, and changing rainfall patterns. These impacts threaten housing, livelihoods, food security, infrastructure, and cultural continuity, particularly in rural and coastal communities.</w:t>
            </w:r>
          </w:p>
          <w:p w14:paraId="10C32E2F"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p>
          <w:p w14:paraId="5FCF60EB"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r w:rsidRPr="00CC57D2">
              <w:rPr>
                <w:rFonts w:asciiTheme="minorHAnsi" w:hAnsiTheme="minorHAnsi" w:cstheme="minorHAnsi"/>
                <w:iCs/>
                <w:sz w:val="22"/>
                <w:szCs w:val="22"/>
              </w:rPr>
              <w:t xml:space="preserve">Fiji has become internationally recognised for its climate mobility policy response, particularly following the relocation of </w:t>
            </w:r>
            <w:proofErr w:type="spellStart"/>
            <w:r w:rsidRPr="00CC57D2">
              <w:rPr>
                <w:rFonts w:asciiTheme="minorHAnsi" w:hAnsiTheme="minorHAnsi" w:cstheme="minorHAnsi"/>
                <w:iCs/>
                <w:sz w:val="22"/>
                <w:szCs w:val="22"/>
              </w:rPr>
              <w:t>Vunidogoloa</w:t>
            </w:r>
            <w:proofErr w:type="spellEnd"/>
            <w:r w:rsidRPr="00CC57D2">
              <w:rPr>
                <w:rFonts w:asciiTheme="minorHAnsi" w:hAnsiTheme="minorHAnsi" w:cstheme="minorHAnsi"/>
                <w:iCs/>
                <w:sz w:val="22"/>
                <w:szCs w:val="22"/>
              </w:rPr>
              <w:t xml:space="preserve"> village in 2014 and the development of the Planned Relocation Guidelines. Six communities have now been relocated, while 42 communities are identified as requiring urgent relocation and approximately 830 communities are considered potentially at risk in coming decades.</w:t>
            </w:r>
          </w:p>
          <w:p w14:paraId="76E4924B"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p>
          <w:p w14:paraId="31C5F63B"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r w:rsidRPr="00CC57D2">
              <w:rPr>
                <w:rFonts w:asciiTheme="minorHAnsi" w:hAnsiTheme="minorHAnsi" w:cstheme="minorHAnsi"/>
                <w:iCs/>
                <w:sz w:val="22"/>
                <w:szCs w:val="22"/>
              </w:rPr>
              <w:t>However, climate mobility discussions in Fiji have focused strongly on planned relocation, potentially overlooking the smaller-scale and everyday ways communities are already adapting while remaining connected to their land, social relationships, and cultural identity.</w:t>
            </w:r>
          </w:p>
          <w:p w14:paraId="1181B44F" w14:textId="77777777" w:rsidR="00E66821" w:rsidRPr="00CC57D2" w:rsidRDefault="00E66821" w:rsidP="00283F5D">
            <w:pPr>
              <w:pStyle w:val="BulletPoints"/>
              <w:numPr>
                <w:ilvl w:val="0"/>
                <w:numId w:val="0"/>
              </w:numPr>
              <w:spacing w:after="0"/>
              <w:ind w:left="-105"/>
              <w:rPr>
                <w:rFonts w:asciiTheme="minorHAnsi" w:hAnsiTheme="minorHAnsi" w:cstheme="minorHAnsi"/>
                <w:iCs/>
                <w:sz w:val="22"/>
                <w:szCs w:val="22"/>
              </w:rPr>
            </w:pPr>
          </w:p>
          <w:p w14:paraId="35A257CC" w14:textId="1332F7DD" w:rsidR="00703A00" w:rsidRDefault="00F55F33" w:rsidP="00283F5D">
            <w:pPr>
              <w:pStyle w:val="BulletPoints"/>
              <w:numPr>
                <w:ilvl w:val="0"/>
                <w:numId w:val="0"/>
              </w:numPr>
              <w:spacing w:after="0"/>
              <w:ind w:left="-105"/>
              <w:rPr>
                <w:rFonts w:asciiTheme="minorHAnsi" w:hAnsiTheme="minorHAnsi" w:cstheme="minorHAnsi"/>
                <w:iCs/>
                <w:sz w:val="22"/>
                <w:szCs w:val="22"/>
              </w:rPr>
            </w:pPr>
            <w:r w:rsidRPr="00F55F33">
              <w:rPr>
                <w:rFonts w:asciiTheme="minorHAnsi" w:hAnsiTheme="minorHAnsi" w:cstheme="minorHAnsi"/>
                <w:iCs/>
                <w:sz w:val="22"/>
                <w:szCs w:val="22"/>
              </w:rPr>
              <w:t xml:space="preserve">This research examined climate mobilities in the villages of </w:t>
            </w:r>
            <w:proofErr w:type="spellStart"/>
            <w:r w:rsidRPr="00F55F33">
              <w:rPr>
                <w:rFonts w:asciiTheme="minorHAnsi" w:hAnsiTheme="minorHAnsi" w:cstheme="minorHAnsi"/>
                <w:iCs/>
                <w:sz w:val="22"/>
                <w:szCs w:val="22"/>
              </w:rPr>
              <w:t>Galoa</w:t>
            </w:r>
            <w:proofErr w:type="spellEnd"/>
            <w:r w:rsidRPr="00F55F33">
              <w:rPr>
                <w:rFonts w:asciiTheme="minorHAnsi" w:hAnsiTheme="minorHAnsi" w:cstheme="minorHAnsi"/>
                <w:iCs/>
                <w:sz w:val="22"/>
                <w:szCs w:val="22"/>
              </w:rPr>
              <w:t xml:space="preserve"> and </w:t>
            </w:r>
            <w:proofErr w:type="spellStart"/>
            <w:r w:rsidRPr="00F55F33">
              <w:rPr>
                <w:rFonts w:asciiTheme="minorHAnsi" w:hAnsiTheme="minorHAnsi" w:cstheme="minorHAnsi"/>
                <w:iCs/>
                <w:sz w:val="22"/>
                <w:szCs w:val="22"/>
              </w:rPr>
              <w:t>Yadua</w:t>
            </w:r>
            <w:proofErr w:type="spellEnd"/>
            <w:r w:rsidRPr="00F55F33">
              <w:rPr>
                <w:rFonts w:asciiTheme="minorHAnsi" w:hAnsiTheme="minorHAnsi" w:cstheme="minorHAnsi"/>
                <w:iCs/>
                <w:sz w:val="22"/>
                <w:szCs w:val="22"/>
              </w:rPr>
              <w:t xml:space="preserve"> between 2024 and 2025 using the Fijian Vanua Research Framework (FVRF) alongside Participatory Visual Methods including Photovoice, mobility mapping, Q-sort, illustrated fieldwork journalling, and directed artworks. This </w:t>
            </w:r>
            <w:proofErr w:type="gramStart"/>
            <w:r w:rsidRPr="00F55F33">
              <w:rPr>
                <w:rFonts w:asciiTheme="minorHAnsi" w:hAnsiTheme="minorHAnsi" w:cstheme="minorHAnsi"/>
                <w:iCs/>
                <w:sz w:val="22"/>
                <w:szCs w:val="22"/>
              </w:rPr>
              <w:t>Master’s</w:t>
            </w:r>
            <w:proofErr w:type="gramEnd"/>
            <w:r w:rsidRPr="00F55F33">
              <w:rPr>
                <w:rFonts w:asciiTheme="minorHAnsi" w:hAnsiTheme="minorHAnsi" w:cstheme="minorHAnsi"/>
                <w:iCs/>
                <w:sz w:val="22"/>
                <w:szCs w:val="22"/>
              </w:rPr>
              <w:t xml:space="preserve"> research formed part of the wider APN project, </w:t>
            </w:r>
            <w:r w:rsidRPr="00F55F33">
              <w:rPr>
                <w:rFonts w:asciiTheme="minorHAnsi" w:hAnsiTheme="minorHAnsi" w:cstheme="minorHAnsi"/>
                <w:i/>
                <w:iCs/>
                <w:sz w:val="22"/>
                <w:szCs w:val="22"/>
              </w:rPr>
              <w:t>Moving to Remain in Place: Micro-Mobilities and Circular Migration as Adaptive Strategies to Gendered Climate Risks in Fiji and Samoa</w:t>
            </w:r>
            <w:r w:rsidRPr="00F55F33">
              <w:rPr>
                <w:rFonts w:asciiTheme="minorHAnsi" w:hAnsiTheme="minorHAnsi" w:cstheme="minorHAnsi"/>
                <w:iCs/>
                <w:sz w:val="22"/>
                <w:szCs w:val="22"/>
              </w:rPr>
              <w:t xml:space="preserve">. </w:t>
            </w:r>
            <w:r w:rsidR="00727E37">
              <w:rPr>
                <w:rFonts w:asciiTheme="minorHAnsi" w:hAnsiTheme="minorHAnsi" w:cstheme="minorHAnsi"/>
                <w:iCs/>
                <w:sz w:val="22"/>
                <w:szCs w:val="22"/>
              </w:rPr>
              <w:t xml:space="preserve">The research was conducted with </w:t>
            </w:r>
            <w:r w:rsidRPr="00F55F33">
              <w:rPr>
                <w:rFonts w:asciiTheme="minorHAnsi" w:hAnsiTheme="minorHAnsi" w:cstheme="minorHAnsi"/>
                <w:iCs/>
                <w:sz w:val="22"/>
                <w:szCs w:val="22"/>
              </w:rPr>
              <w:t xml:space="preserve">guidance from Professor Andreas Neef and Associate Professor Jesse Hession Grayman, and support from the Fijian research team: Renata </w:t>
            </w:r>
            <w:proofErr w:type="spellStart"/>
            <w:r w:rsidRPr="00F55F33">
              <w:rPr>
                <w:rFonts w:asciiTheme="minorHAnsi" w:hAnsiTheme="minorHAnsi" w:cstheme="minorHAnsi"/>
                <w:iCs/>
                <w:sz w:val="22"/>
                <w:szCs w:val="22"/>
              </w:rPr>
              <w:t>Varea</w:t>
            </w:r>
            <w:proofErr w:type="spellEnd"/>
            <w:r w:rsidRPr="00F55F33">
              <w:rPr>
                <w:rFonts w:asciiTheme="minorHAnsi" w:hAnsiTheme="minorHAnsi" w:cstheme="minorHAnsi"/>
                <w:iCs/>
                <w:sz w:val="22"/>
                <w:szCs w:val="22"/>
              </w:rPr>
              <w:t xml:space="preserve">, Eseta Drova, Talei </w:t>
            </w:r>
            <w:proofErr w:type="spellStart"/>
            <w:r w:rsidRPr="00F55F33">
              <w:rPr>
                <w:rFonts w:asciiTheme="minorHAnsi" w:hAnsiTheme="minorHAnsi" w:cstheme="minorHAnsi"/>
                <w:iCs/>
                <w:sz w:val="22"/>
                <w:szCs w:val="22"/>
              </w:rPr>
              <w:t>Rokotabua</w:t>
            </w:r>
            <w:proofErr w:type="spellEnd"/>
            <w:r w:rsidRPr="00F55F33">
              <w:rPr>
                <w:rFonts w:asciiTheme="minorHAnsi" w:hAnsiTheme="minorHAnsi" w:cstheme="minorHAnsi"/>
                <w:iCs/>
                <w:sz w:val="22"/>
                <w:szCs w:val="22"/>
              </w:rPr>
              <w:t>, and Rufino Varea. The team supported village protocols, cultural and linguistic guidance, participant engagement</w:t>
            </w:r>
            <w:proofErr w:type="gramStart"/>
            <w:r w:rsidRPr="00F55F33">
              <w:rPr>
                <w:rFonts w:asciiTheme="minorHAnsi" w:hAnsiTheme="minorHAnsi" w:cstheme="minorHAnsi"/>
                <w:iCs/>
                <w:sz w:val="22"/>
                <w:szCs w:val="22"/>
              </w:rPr>
              <w:t>, ,</w:t>
            </w:r>
            <w:proofErr w:type="gramEnd"/>
            <w:r w:rsidRPr="00F55F33">
              <w:rPr>
                <w:rFonts w:asciiTheme="minorHAnsi" w:hAnsiTheme="minorHAnsi" w:cstheme="minorHAnsi"/>
                <w:iCs/>
                <w:sz w:val="22"/>
                <w:szCs w:val="22"/>
              </w:rPr>
              <w:t xml:space="preserve"> and interpretation. The research explored how communities understand and respond to environmental change, and how mobility decisions are shaped by social, emotional, cultural, and relational factors.</w:t>
            </w:r>
          </w:p>
          <w:p w14:paraId="3B98D294" w14:textId="77777777" w:rsidR="004B7395" w:rsidRPr="00CC57D2" w:rsidRDefault="004B7395" w:rsidP="00283F5D">
            <w:pPr>
              <w:pStyle w:val="BulletPoints"/>
              <w:numPr>
                <w:ilvl w:val="0"/>
                <w:numId w:val="0"/>
              </w:numPr>
              <w:spacing w:after="0"/>
              <w:ind w:left="-105"/>
              <w:rPr>
                <w:rFonts w:asciiTheme="minorHAnsi" w:hAnsiTheme="minorHAnsi" w:cstheme="minorHAnsi"/>
                <w:iCs/>
                <w:sz w:val="22"/>
                <w:szCs w:val="22"/>
              </w:rPr>
            </w:pPr>
          </w:p>
          <w:p w14:paraId="27F81F3E" w14:textId="079631DE"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r w:rsidRPr="00CC57D2">
              <w:rPr>
                <w:rFonts w:asciiTheme="minorHAnsi" w:hAnsiTheme="minorHAnsi" w:cstheme="minorHAnsi"/>
                <w:iCs/>
                <w:sz w:val="22"/>
                <w:szCs w:val="22"/>
              </w:rPr>
              <w:t xml:space="preserve">Stakeholders include village communities, women and caregivers, traditional leaders, government agencies, regional organisations, researchers, and development </w:t>
            </w:r>
            <w:r w:rsidRPr="00CC57D2">
              <w:rPr>
                <w:rFonts w:asciiTheme="minorHAnsi" w:hAnsiTheme="minorHAnsi" w:cstheme="minorHAnsi"/>
                <w:iCs/>
                <w:sz w:val="22"/>
                <w:szCs w:val="22"/>
              </w:rPr>
              <w:lastRenderedPageBreak/>
              <w:t>partners involved in climate adaptation and mobility planning. The findings are relevant to development actors including MFAT and Pacific climate agencies seeking to support adaptation approaches that are community-led, culturally grounded, and responsive to lived realities.</w:t>
            </w:r>
          </w:p>
          <w:p w14:paraId="2B9D11AD" w14:textId="77777777" w:rsidR="000A2C65" w:rsidRPr="00CC57D2" w:rsidRDefault="000A2C65" w:rsidP="00283F5D">
            <w:pPr>
              <w:pStyle w:val="BulletPoints"/>
              <w:numPr>
                <w:ilvl w:val="0"/>
                <w:numId w:val="0"/>
              </w:numPr>
              <w:spacing w:after="0"/>
              <w:ind w:left="-105"/>
              <w:rPr>
                <w:rFonts w:asciiTheme="minorHAnsi" w:hAnsiTheme="minorHAnsi" w:cstheme="minorHAnsi"/>
                <w:iCs/>
                <w:sz w:val="22"/>
                <w:szCs w:val="22"/>
              </w:rPr>
            </w:pPr>
          </w:p>
          <w:p w14:paraId="7B4FB699" w14:textId="59333E7A" w:rsidR="007D0208" w:rsidRDefault="004C2181" w:rsidP="00283F5D">
            <w:pPr>
              <w:pStyle w:val="BulletPoints"/>
              <w:numPr>
                <w:ilvl w:val="0"/>
                <w:numId w:val="0"/>
              </w:numPr>
              <w:spacing w:after="0"/>
              <w:ind w:left="-105"/>
              <w:rPr>
                <w:rFonts w:asciiTheme="minorHAnsi" w:hAnsiTheme="minorHAnsi" w:cstheme="minorHAnsi"/>
                <w:iCs/>
                <w:sz w:val="22"/>
                <w:szCs w:val="22"/>
              </w:rPr>
            </w:pPr>
            <w:r w:rsidRPr="004C2181">
              <w:rPr>
                <w:rFonts w:asciiTheme="minorHAnsi" w:hAnsiTheme="minorHAnsi" w:cstheme="minorHAnsi"/>
                <w:iCs/>
                <w:sz w:val="22"/>
                <w:szCs w:val="22"/>
              </w:rPr>
              <w:t xml:space="preserve">Existing scholarship on climate mobility in Fiji has increasingly challenged simplified narratives of climate displacement and planned relocation. Research has highlighted the importance of attachment to Vanua, relational place attachment, social norms, gender, kinship obligations, and community agency in shaping mobility and adaptation decisions (McNamara &amp; Des Combes, 2015; Neef, Benge, &amp; Boruff, 2018; McMichael &amp; </w:t>
            </w:r>
            <w:proofErr w:type="spellStart"/>
            <w:r w:rsidRPr="004C2181">
              <w:rPr>
                <w:rFonts w:asciiTheme="minorHAnsi" w:hAnsiTheme="minorHAnsi" w:cstheme="minorHAnsi"/>
                <w:iCs/>
                <w:sz w:val="22"/>
                <w:szCs w:val="22"/>
              </w:rPr>
              <w:t>Katonivualiku</w:t>
            </w:r>
            <w:proofErr w:type="spellEnd"/>
            <w:r w:rsidRPr="004C2181">
              <w:rPr>
                <w:rFonts w:asciiTheme="minorHAnsi" w:hAnsiTheme="minorHAnsi" w:cstheme="minorHAnsi"/>
                <w:iCs/>
                <w:sz w:val="22"/>
                <w:szCs w:val="22"/>
              </w:rPr>
              <w:t>, 2020; Yee et al., 2022).</w:t>
            </w:r>
            <w:r w:rsidR="00E66821" w:rsidRPr="00CC57D2">
              <w:rPr>
                <w:rFonts w:asciiTheme="minorHAnsi" w:hAnsiTheme="minorHAnsi" w:cstheme="minorHAnsi"/>
                <w:iCs/>
                <w:sz w:val="22"/>
                <w:szCs w:val="22"/>
              </w:rPr>
              <w:t xml:space="preserve"> </w:t>
            </w:r>
          </w:p>
          <w:p w14:paraId="43007CD5" w14:textId="77777777" w:rsidR="007D0208" w:rsidRDefault="007D0208" w:rsidP="00283F5D">
            <w:pPr>
              <w:pStyle w:val="BulletPoints"/>
              <w:numPr>
                <w:ilvl w:val="0"/>
                <w:numId w:val="0"/>
              </w:numPr>
              <w:spacing w:after="0"/>
              <w:ind w:left="-105"/>
              <w:rPr>
                <w:rFonts w:asciiTheme="minorHAnsi" w:hAnsiTheme="minorHAnsi" w:cstheme="minorHAnsi"/>
                <w:iCs/>
                <w:sz w:val="22"/>
                <w:szCs w:val="22"/>
              </w:rPr>
            </w:pPr>
          </w:p>
          <w:p w14:paraId="7ED3F092" w14:textId="3C1D16CD" w:rsidR="000A2C65" w:rsidRPr="00CC57D2" w:rsidRDefault="00E66821" w:rsidP="00283F5D">
            <w:pPr>
              <w:pStyle w:val="BulletPoints"/>
              <w:numPr>
                <w:ilvl w:val="0"/>
                <w:numId w:val="0"/>
              </w:numPr>
              <w:spacing w:after="0"/>
              <w:ind w:left="-105"/>
              <w:rPr>
                <w:rFonts w:asciiTheme="minorHAnsi" w:hAnsiTheme="minorHAnsi" w:cstheme="minorHAnsi"/>
                <w:iCs/>
                <w:sz w:val="22"/>
                <w:szCs w:val="22"/>
              </w:rPr>
            </w:pPr>
            <w:r w:rsidRPr="00CC57D2">
              <w:rPr>
                <w:rFonts w:asciiTheme="minorHAnsi" w:hAnsiTheme="minorHAnsi" w:cstheme="minorHAnsi"/>
                <w:iCs/>
                <w:sz w:val="22"/>
                <w:szCs w:val="22"/>
              </w:rPr>
              <w:t>Recent studies have also drawn attention to voluntary immobility, adaptation-in-place, partial relocation, and everyday forms of mobility that operate alongside more formal relocation processes. This research contributes to that literature by demonstrating how mobility pathways are layered and interwoven in everyday life, and by showing the value of combining the Fijian Vanua Research Framework with Participatory Visual Methods to better understand lived experiences of climate change.</w:t>
            </w:r>
          </w:p>
          <w:p w14:paraId="37F934B2" w14:textId="77777777" w:rsidR="006344A5" w:rsidRPr="00CC57D2" w:rsidRDefault="006344A5" w:rsidP="007D0208">
            <w:pPr>
              <w:pStyle w:val="BulletPoints"/>
              <w:numPr>
                <w:ilvl w:val="0"/>
                <w:numId w:val="0"/>
              </w:numPr>
              <w:spacing w:after="0"/>
              <w:ind w:left="-105"/>
              <w:jc w:val="left"/>
              <w:rPr>
                <w:rFonts w:cs="Tahoma"/>
                <w:sz w:val="22"/>
                <w:szCs w:val="22"/>
              </w:rPr>
            </w:pPr>
          </w:p>
        </w:tc>
      </w:tr>
      <w:tr w:rsidR="006344A5" w:rsidRPr="00CC57D2" w14:paraId="37F934BF" w14:textId="77777777" w:rsidTr="007E4100">
        <w:trPr>
          <w:gridAfter w:val="1"/>
          <w:wAfter w:w="108" w:type="dxa"/>
        </w:trPr>
        <w:tc>
          <w:tcPr>
            <w:tcW w:w="5103" w:type="dxa"/>
            <w:gridSpan w:val="2"/>
          </w:tcPr>
          <w:p w14:paraId="7F678E33" w14:textId="77777777" w:rsidR="006344A5" w:rsidRPr="00CC57D2" w:rsidRDefault="006344A5" w:rsidP="00283F5D">
            <w:pPr>
              <w:pStyle w:val="BulletPoints"/>
              <w:numPr>
                <w:ilvl w:val="0"/>
                <w:numId w:val="0"/>
              </w:numPr>
              <w:rPr>
                <w:rFonts w:asciiTheme="minorHAnsi" w:hAnsiTheme="minorHAnsi" w:cstheme="minorHAnsi"/>
                <w:b/>
                <w:color w:val="864EA8" w:themeColor="accent1" w:themeShade="BF"/>
                <w:sz w:val="22"/>
                <w:szCs w:val="22"/>
              </w:rPr>
            </w:pPr>
            <w:r w:rsidRPr="00CC57D2">
              <w:rPr>
                <w:rFonts w:asciiTheme="minorHAnsi" w:hAnsiTheme="minorHAnsi" w:cstheme="minorHAnsi"/>
                <w:b/>
                <w:color w:val="864EA8" w:themeColor="accent1" w:themeShade="BF"/>
                <w:sz w:val="22"/>
                <w:szCs w:val="22"/>
              </w:rPr>
              <w:lastRenderedPageBreak/>
              <w:t>Key findings</w:t>
            </w:r>
          </w:p>
          <w:p w14:paraId="3589D42E" w14:textId="047F9413" w:rsidR="007F7672" w:rsidRPr="00CC57D2" w:rsidRDefault="007F7672" w:rsidP="00283F5D">
            <w:pPr>
              <w:pStyle w:val="BulletPoints"/>
              <w:numPr>
                <w:ilvl w:val="0"/>
                <w:numId w:val="42"/>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Multiple intersecting drivers shape climate mobility</w:t>
            </w:r>
          </w:p>
          <w:p w14:paraId="5318BE4A" w14:textId="3194447F" w:rsidR="007F7672" w:rsidRPr="00CC57D2" w:rsidRDefault="007F7672"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 xml:space="preserve">The research found that climate mobility in </w:t>
            </w:r>
            <w:proofErr w:type="spellStart"/>
            <w:r w:rsidRPr="00CC57D2">
              <w:rPr>
                <w:rFonts w:asciiTheme="minorHAnsi" w:hAnsiTheme="minorHAnsi" w:cstheme="minorHAnsi"/>
                <w:iCs/>
                <w:sz w:val="22"/>
                <w:szCs w:val="22"/>
              </w:rPr>
              <w:t>Galoa</w:t>
            </w:r>
            <w:proofErr w:type="spellEnd"/>
            <w:r w:rsidRPr="00CC57D2">
              <w:rPr>
                <w:rFonts w:asciiTheme="minorHAnsi" w:hAnsiTheme="minorHAnsi" w:cstheme="minorHAnsi"/>
                <w:iCs/>
                <w:sz w:val="22"/>
                <w:szCs w:val="22"/>
              </w:rPr>
              <w:t xml:space="preserve"> and </w:t>
            </w:r>
            <w:proofErr w:type="spellStart"/>
            <w:r w:rsidRPr="00CC57D2">
              <w:rPr>
                <w:rFonts w:asciiTheme="minorHAnsi" w:hAnsiTheme="minorHAnsi" w:cstheme="minorHAnsi"/>
                <w:iCs/>
                <w:sz w:val="22"/>
                <w:szCs w:val="22"/>
              </w:rPr>
              <w:t>Yadua</w:t>
            </w:r>
            <w:proofErr w:type="spellEnd"/>
            <w:r w:rsidRPr="00CC57D2">
              <w:rPr>
                <w:rFonts w:asciiTheme="minorHAnsi" w:hAnsiTheme="minorHAnsi" w:cstheme="minorHAnsi"/>
                <w:iCs/>
                <w:sz w:val="22"/>
                <w:szCs w:val="22"/>
              </w:rPr>
              <w:t xml:space="preserve"> was shaped not by a single trigger, but by overlapping environmental, economic, social, and cultural pressures.</w:t>
            </w:r>
          </w:p>
          <w:p w14:paraId="4478D107" w14:textId="77777777" w:rsidR="007F7672" w:rsidRPr="00CC57D2" w:rsidRDefault="007F7672" w:rsidP="00283F5D">
            <w:pPr>
              <w:pStyle w:val="BulletPoints"/>
              <w:numPr>
                <w:ilvl w:val="0"/>
                <w:numId w:val="0"/>
              </w:numPr>
              <w:spacing w:after="0"/>
              <w:rPr>
                <w:rFonts w:asciiTheme="minorHAnsi" w:hAnsiTheme="minorHAnsi" w:cstheme="minorHAnsi"/>
                <w:iCs/>
                <w:sz w:val="22"/>
                <w:szCs w:val="22"/>
              </w:rPr>
            </w:pPr>
          </w:p>
          <w:p w14:paraId="734AA18D" w14:textId="4DB9950A" w:rsidR="007D0208" w:rsidRDefault="007D0208" w:rsidP="00283F5D">
            <w:pPr>
              <w:pStyle w:val="BulletPoints"/>
              <w:numPr>
                <w:ilvl w:val="0"/>
                <w:numId w:val="0"/>
              </w:numPr>
              <w:spacing w:after="0"/>
              <w:jc w:val="center"/>
              <w:rPr>
                <w:rFonts w:asciiTheme="minorHAnsi" w:hAnsiTheme="minorHAnsi" w:cstheme="minorHAnsi"/>
                <w:iCs/>
                <w:sz w:val="22"/>
                <w:szCs w:val="22"/>
              </w:rPr>
            </w:pPr>
            <w:r w:rsidRPr="007D0208">
              <w:rPr>
                <w:rFonts w:asciiTheme="minorHAnsi" w:hAnsiTheme="minorHAnsi" w:cstheme="minorHAnsi"/>
                <w:iCs/>
                <w:noProof/>
                <w:sz w:val="22"/>
                <w:szCs w:val="22"/>
              </w:rPr>
              <w:drawing>
                <wp:inline distT="0" distB="0" distL="0" distR="0" wp14:anchorId="4D0F2430" wp14:editId="068EBAA6">
                  <wp:extent cx="1448240" cy="1927397"/>
                  <wp:effectExtent l="0" t="0" r="0" b="0"/>
                  <wp:docPr id="8325740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743" cy="2002595"/>
                          </a:xfrm>
                          <a:prstGeom prst="rect">
                            <a:avLst/>
                          </a:prstGeom>
                          <a:noFill/>
                          <a:ln>
                            <a:noFill/>
                          </a:ln>
                        </pic:spPr>
                      </pic:pic>
                    </a:graphicData>
                  </a:graphic>
                </wp:inline>
              </w:drawing>
            </w:r>
          </w:p>
          <w:p w14:paraId="0E504AA9" w14:textId="77777777" w:rsidR="004C5210" w:rsidRDefault="004C5210" w:rsidP="00283F5D">
            <w:pPr>
              <w:pStyle w:val="BulletPoints"/>
              <w:numPr>
                <w:ilvl w:val="0"/>
                <w:numId w:val="0"/>
              </w:numPr>
              <w:spacing w:after="0"/>
              <w:rPr>
                <w:rFonts w:asciiTheme="minorHAnsi" w:hAnsiTheme="minorHAnsi" w:cstheme="minorHAnsi"/>
                <w:b/>
                <w:bCs/>
                <w:iCs/>
                <w:sz w:val="22"/>
                <w:szCs w:val="22"/>
              </w:rPr>
            </w:pPr>
          </w:p>
          <w:p w14:paraId="39BE17A6" w14:textId="4A6F889A" w:rsidR="007D0208" w:rsidRDefault="007D0208" w:rsidP="00283F5D">
            <w:pPr>
              <w:pStyle w:val="BulletPoints"/>
              <w:numPr>
                <w:ilvl w:val="0"/>
                <w:numId w:val="0"/>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w:t>
            </w:r>
            <w:r w:rsidR="004C5210">
              <w:rPr>
                <w:rFonts w:asciiTheme="minorHAnsi" w:hAnsiTheme="minorHAnsi" w:cstheme="minorHAnsi"/>
                <w:b/>
                <w:bCs/>
                <w:iCs/>
                <w:sz w:val="22"/>
                <w:szCs w:val="22"/>
              </w:rPr>
              <w:t>1</w:t>
            </w:r>
            <w:r w:rsidRPr="00CC57D2">
              <w:rPr>
                <w:rFonts w:asciiTheme="minorHAnsi" w:hAnsiTheme="minorHAnsi" w:cstheme="minorHAnsi"/>
                <w:b/>
                <w:bCs/>
                <w:iCs/>
                <w:sz w:val="22"/>
                <w:szCs w:val="22"/>
              </w:rPr>
              <w:t xml:space="preserve">. </w:t>
            </w:r>
            <w:r>
              <w:rPr>
                <w:rFonts w:asciiTheme="minorHAnsi" w:hAnsiTheme="minorHAnsi" w:cstheme="minorHAnsi"/>
                <w:b/>
                <w:bCs/>
                <w:iCs/>
                <w:sz w:val="22"/>
                <w:szCs w:val="22"/>
              </w:rPr>
              <w:t>“</w:t>
            </w:r>
            <w:r w:rsidRPr="007D0208">
              <w:rPr>
                <w:rFonts w:asciiTheme="minorHAnsi" w:hAnsiTheme="minorHAnsi" w:cstheme="minorHAnsi"/>
                <w:b/>
                <w:bCs/>
                <w:iCs/>
                <w:sz w:val="22"/>
                <w:szCs w:val="22"/>
              </w:rPr>
              <w:t xml:space="preserve">We have observed that the size, quality and quantity of our catch </w:t>
            </w:r>
            <w:proofErr w:type="gramStart"/>
            <w:r w:rsidRPr="007D0208">
              <w:rPr>
                <w:rFonts w:asciiTheme="minorHAnsi" w:hAnsiTheme="minorHAnsi" w:cstheme="minorHAnsi"/>
                <w:b/>
                <w:bCs/>
                <w:iCs/>
                <w:sz w:val="22"/>
                <w:szCs w:val="22"/>
              </w:rPr>
              <w:t>has</w:t>
            </w:r>
            <w:proofErr w:type="gramEnd"/>
            <w:r w:rsidRPr="007D0208">
              <w:rPr>
                <w:rFonts w:asciiTheme="minorHAnsi" w:hAnsiTheme="minorHAnsi" w:cstheme="minorHAnsi"/>
                <w:b/>
                <w:bCs/>
                <w:iCs/>
                <w:sz w:val="22"/>
                <w:szCs w:val="22"/>
              </w:rPr>
              <w:t xml:space="preserve"> drastically changed over the years. I think it’s due to the ocean warming.”</w:t>
            </w:r>
            <w:r>
              <w:rPr>
                <w:rFonts w:asciiTheme="minorHAnsi" w:hAnsiTheme="minorHAnsi" w:cstheme="minorHAnsi"/>
                <w:b/>
                <w:bCs/>
                <w:iCs/>
                <w:sz w:val="22"/>
                <w:szCs w:val="22"/>
              </w:rPr>
              <w:t xml:space="preserve"> (Participant, </w:t>
            </w:r>
            <w:proofErr w:type="spellStart"/>
            <w:r>
              <w:rPr>
                <w:rFonts w:asciiTheme="minorHAnsi" w:hAnsiTheme="minorHAnsi" w:cstheme="minorHAnsi"/>
                <w:b/>
                <w:bCs/>
                <w:iCs/>
                <w:sz w:val="22"/>
                <w:szCs w:val="22"/>
              </w:rPr>
              <w:t>Yadua</w:t>
            </w:r>
            <w:proofErr w:type="spellEnd"/>
            <w:r>
              <w:rPr>
                <w:rFonts w:asciiTheme="minorHAnsi" w:hAnsiTheme="minorHAnsi" w:cstheme="minorHAnsi"/>
                <w:b/>
                <w:bCs/>
                <w:iCs/>
                <w:sz w:val="22"/>
                <w:szCs w:val="22"/>
              </w:rPr>
              <w:t xml:space="preserve"> Village)</w:t>
            </w:r>
          </w:p>
          <w:p w14:paraId="1F7FDD2F" w14:textId="48C955B5" w:rsidR="007D0208" w:rsidRPr="00CC57D2" w:rsidRDefault="004C5210" w:rsidP="00283F5D">
            <w:pPr>
              <w:pStyle w:val="BulletPoints"/>
              <w:numPr>
                <w:ilvl w:val="0"/>
                <w:numId w:val="0"/>
              </w:numPr>
              <w:spacing w:after="0"/>
              <w:rPr>
                <w:rFonts w:asciiTheme="minorHAnsi" w:hAnsiTheme="minorHAnsi" w:cstheme="minorHAnsi"/>
                <w:iCs/>
                <w:sz w:val="22"/>
                <w:szCs w:val="22"/>
              </w:rPr>
            </w:pPr>
            <w:r>
              <w:rPr>
                <w:rFonts w:asciiTheme="minorHAnsi" w:hAnsiTheme="minorHAnsi" w:cstheme="minorHAnsi"/>
                <w:b/>
                <w:bCs/>
                <w:iCs/>
                <w:sz w:val="22"/>
                <w:szCs w:val="22"/>
              </w:rPr>
              <w:t xml:space="preserve"> </w:t>
            </w:r>
            <w:r w:rsidR="007D0208" w:rsidRPr="00CC57D2">
              <w:rPr>
                <w:rFonts w:asciiTheme="minorHAnsi" w:hAnsiTheme="minorHAnsi" w:cstheme="minorHAnsi"/>
                <w:iCs/>
                <w:sz w:val="22"/>
                <w:szCs w:val="22"/>
              </w:rPr>
              <w:t>Photovoice findings identified climate change impacts, development pressure, livelihood loss and food security, and gendered impacts as key mobility drivers. Participants described coastal erosion, flooding, storm surges, crop damage, changing fishing access, and disrupted daily routines alongside concerns about land development, livelihoods, infrastructure, and future opportunities.</w:t>
            </w:r>
          </w:p>
          <w:p w14:paraId="51F7599A" w14:textId="77777777" w:rsidR="00CB55DE" w:rsidRPr="00CC57D2" w:rsidRDefault="00CB55DE" w:rsidP="00283F5D">
            <w:pPr>
              <w:pStyle w:val="BulletPoints"/>
              <w:numPr>
                <w:ilvl w:val="0"/>
                <w:numId w:val="0"/>
              </w:numPr>
              <w:spacing w:after="0"/>
              <w:rPr>
                <w:rFonts w:asciiTheme="minorHAnsi" w:hAnsiTheme="minorHAnsi" w:cstheme="minorHAnsi"/>
                <w:iCs/>
                <w:sz w:val="22"/>
                <w:szCs w:val="22"/>
              </w:rPr>
            </w:pPr>
          </w:p>
          <w:p w14:paraId="25C0D1BD" w14:textId="2C72BBE7" w:rsidR="00703A00" w:rsidRDefault="007D0208" w:rsidP="004C5210">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findings suggest that climate mobility in Fiji cannot be understood through environmentally deterministic frameworks alone. Instead, mobility pathways emerge through the interaction of climate pressures with broader development, livelihood, and social change.</w:t>
            </w:r>
          </w:p>
          <w:p w14:paraId="23281554" w14:textId="77777777" w:rsidR="004C5210" w:rsidRPr="00CC57D2" w:rsidRDefault="004C5210" w:rsidP="004C5210">
            <w:pPr>
              <w:pStyle w:val="BulletPoints"/>
              <w:numPr>
                <w:ilvl w:val="0"/>
                <w:numId w:val="0"/>
              </w:numPr>
              <w:spacing w:after="0"/>
              <w:rPr>
                <w:rFonts w:asciiTheme="minorHAnsi" w:hAnsiTheme="minorHAnsi" w:cstheme="minorHAnsi"/>
                <w:iCs/>
                <w:sz w:val="22"/>
                <w:szCs w:val="22"/>
              </w:rPr>
            </w:pPr>
          </w:p>
          <w:p w14:paraId="5E047C4E" w14:textId="4AB88E9D" w:rsidR="007F7672" w:rsidRPr="00CC57D2" w:rsidRDefault="007F7672" w:rsidP="00283F5D">
            <w:pPr>
              <w:pStyle w:val="BulletPoints"/>
              <w:numPr>
                <w:ilvl w:val="0"/>
                <w:numId w:val="42"/>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Attachment to Vanua supports adaptation-first strategies</w:t>
            </w:r>
          </w:p>
          <w:p w14:paraId="3F7C105B" w14:textId="4CBFF80A" w:rsidR="007F7672" w:rsidRPr="00CC57D2" w:rsidRDefault="007F7672"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research found that strong attachment to Vanua underpinned a preference to adapt in situ before considering relocation.</w:t>
            </w:r>
            <w:r w:rsidR="00283F5D">
              <w:rPr>
                <w:rFonts w:asciiTheme="minorHAnsi" w:hAnsiTheme="minorHAnsi" w:cstheme="minorHAnsi"/>
                <w:iCs/>
                <w:sz w:val="22"/>
                <w:szCs w:val="22"/>
              </w:rPr>
              <w:t xml:space="preserve">  </w:t>
            </w:r>
            <w:r w:rsidRPr="00CC57D2">
              <w:rPr>
                <w:rFonts w:asciiTheme="minorHAnsi" w:hAnsiTheme="minorHAnsi" w:cstheme="minorHAnsi"/>
                <w:iCs/>
                <w:sz w:val="22"/>
                <w:szCs w:val="22"/>
              </w:rPr>
              <w:t xml:space="preserve">Participants described deep emotional, cultural, ancestral, and relational connections to village land, burial grounds, family networks, and community identity. </w:t>
            </w:r>
          </w:p>
          <w:p w14:paraId="5DFED913" w14:textId="77777777" w:rsidR="007F7672" w:rsidRPr="00CC57D2" w:rsidRDefault="007F7672" w:rsidP="00283F5D">
            <w:pPr>
              <w:pStyle w:val="BulletPoints"/>
              <w:numPr>
                <w:ilvl w:val="0"/>
                <w:numId w:val="0"/>
              </w:numPr>
              <w:spacing w:after="0"/>
              <w:rPr>
                <w:rFonts w:asciiTheme="minorHAnsi" w:hAnsiTheme="minorHAnsi" w:cstheme="minorHAnsi"/>
                <w:iCs/>
                <w:sz w:val="22"/>
                <w:szCs w:val="22"/>
              </w:rPr>
            </w:pPr>
          </w:p>
          <w:p w14:paraId="5CAFC54C" w14:textId="77777777" w:rsidR="00CB55DE" w:rsidRPr="00CC57D2" w:rsidRDefault="00CB55DE" w:rsidP="00283F5D">
            <w:pPr>
              <w:pStyle w:val="BulletPoints"/>
              <w:numPr>
                <w:ilvl w:val="0"/>
                <w:numId w:val="0"/>
              </w:numPr>
              <w:spacing w:after="0"/>
              <w:rPr>
                <w:rFonts w:asciiTheme="minorHAnsi" w:hAnsiTheme="minorHAnsi" w:cstheme="minorHAnsi"/>
                <w:iCs/>
                <w:sz w:val="22"/>
                <w:szCs w:val="22"/>
              </w:rPr>
            </w:pPr>
          </w:p>
          <w:p w14:paraId="0C73EC85" w14:textId="77777777" w:rsidR="00283F5D" w:rsidRDefault="00CB55DE" w:rsidP="00283F5D">
            <w:pPr>
              <w:pStyle w:val="BulletPoints"/>
              <w:numPr>
                <w:ilvl w:val="0"/>
                <w:numId w:val="0"/>
              </w:numPr>
              <w:spacing w:after="0"/>
              <w:jc w:val="center"/>
              <w:rPr>
                <w:rFonts w:asciiTheme="minorHAnsi" w:hAnsiTheme="minorHAnsi" w:cstheme="minorHAnsi"/>
                <w:b/>
                <w:bCs/>
                <w:iCs/>
                <w:sz w:val="22"/>
                <w:szCs w:val="22"/>
              </w:rPr>
            </w:pPr>
            <w:r w:rsidRPr="00CB55DE">
              <w:rPr>
                <w:rFonts w:asciiTheme="minorHAnsi" w:hAnsiTheme="minorHAnsi" w:cstheme="minorHAnsi"/>
                <w:b/>
                <w:bCs/>
                <w:iCs/>
                <w:noProof/>
                <w:sz w:val="22"/>
                <w:szCs w:val="22"/>
              </w:rPr>
              <w:drawing>
                <wp:inline distT="0" distB="0" distL="0" distR="0" wp14:anchorId="2CC0D5CD" wp14:editId="05BBBCED">
                  <wp:extent cx="1982458" cy="2171089"/>
                  <wp:effectExtent l="0" t="0" r="0" b="635"/>
                  <wp:docPr id="1254463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2364" cy="2181938"/>
                          </a:xfrm>
                          <a:prstGeom prst="rect">
                            <a:avLst/>
                          </a:prstGeom>
                          <a:noFill/>
                          <a:ln>
                            <a:noFill/>
                          </a:ln>
                        </pic:spPr>
                      </pic:pic>
                    </a:graphicData>
                  </a:graphic>
                </wp:inline>
              </w:drawing>
            </w:r>
          </w:p>
          <w:p w14:paraId="56550745" w14:textId="77777777" w:rsidR="004C5210" w:rsidRDefault="004C5210" w:rsidP="00283F5D">
            <w:pPr>
              <w:pStyle w:val="BulletPoints"/>
              <w:numPr>
                <w:ilvl w:val="0"/>
                <w:numId w:val="0"/>
              </w:numPr>
              <w:spacing w:after="0"/>
              <w:rPr>
                <w:rFonts w:asciiTheme="minorHAnsi" w:hAnsiTheme="minorHAnsi" w:cstheme="minorHAnsi"/>
                <w:b/>
                <w:bCs/>
                <w:iCs/>
                <w:sz w:val="22"/>
                <w:szCs w:val="22"/>
              </w:rPr>
            </w:pPr>
          </w:p>
          <w:p w14:paraId="29223B28" w14:textId="5599780E" w:rsidR="00703A00" w:rsidRDefault="00703A00" w:rsidP="00283F5D">
            <w:pPr>
              <w:pStyle w:val="BulletPoints"/>
              <w:numPr>
                <w:ilvl w:val="0"/>
                <w:numId w:val="0"/>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w:t>
            </w:r>
            <w:r w:rsidR="004C5210">
              <w:rPr>
                <w:rFonts w:asciiTheme="minorHAnsi" w:hAnsiTheme="minorHAnsi" w:cstheme="minorHAnsi"/>
                <w:b/>
                <w:bCs/>
                <w:iCs/>
                <w:sz w:val="22"/>
                <w:szCs w:val="22"/>
              </w:rPr>
              <w:t>2</w:t>
            </w:r>
            <w:r w:rsidRPr="00CC57D2">
              <w:rPr>
                <w:rFonts w:asciiTheme="minorHAnsi" w:hAnsiTheme="minorHAnsi" w:cstheme="minorHAnsi"/>
                <w:b/>
                <w:bCs/>
                <w:iCs/>
                <w:sz w:val="22"/>
                <w:szCs w:val="22"/>
              </w:rPr>
              <w:t xml:space="preserve">. </w:t>
            </w:r>
            <w:r w:rsidR="00CB55DE">
              <w:rPr>
                <w:rFonts w:asciiTheme="minorHAnsi" w:hAnsiTheme="minorHAnsi" w:cstheme="minorHAnsi"/>
                <w:b/>
                <w:bCs/>
                <w:iCs/>
                <w:sz w:val="22"/>
                <w:szCs w:val="22"/>
              </w:rPr>
              <w:t>“The village hall is significant to me because it’s a place where people can come together to evacuate during times of disasters”</w:t>
            </w:r>
            <w:r w:rsidRPr="00CC57D2">
              <w:rPr>
                <w:rFonts w:asciiTheme="minorHAnsi" w:hAnsiTheme="minorHAnsi" w:cstheme="minorHAnsi"/>
                <w:b/>
                <w:bCs/>
                <w:iCs/>
                <w:sz w:val="22"/>
                <w:szCs w:val="22"/>
              </w:rPr>
              <w:t>.</w:t>
            </w:r>
            <w:r w:rsidR="00CB55DE">
              <w:rPr>
                <w:rFonts w:asciiTheme="minorHAnsi" w:hAnsiTheme="minorHAnsi" w:cstheme="minorHAnsi"/>
                <w:b/>
                <w:bCs/>
                <w:iCs/>
                <w:sz w:val="22"/>
                <w:szCs w:val="22"/>
              </w:rPr>
              <w:t xml:space="preserve"> (Participant </w:t>
            </w:r>
            <w:proofErr w:type="spellStart"/>
            <w:r w:rsidR="00CB55DE">
              <w:rPr>
                <w:rFonts w:asciiTheme="minorHAnsi" w:hAnsiTheme="minorHAnsi" w:cstheme="minorHAnsi"/>
                <w:b/>
                <w:bCs/>
                <w:iCs/>
                <w:sz w:val="22"/>
                <w:szCs w:val="22"/>
              </w:rPr>
              <w:t>Galoa</w:t>
            </w:r>
            <w:proofErr w:type="spellEnd"/>
            <w:r w:rsidR="00CB55DE">
              <w:rPr>
                <w:rFonts w:asciiTheme="minorHAnsi" w:hAnsiTheme="minorHAnsi" w:cstheme="minorHAnsi"/>
                <w:b/>
                <w:bCs/>
                <w:iCs/>
                <w:sz w:val="22"/>
                <w:szCs w:val="22"/>
              </w:rPr>
              <w:t xml:space="preserve"> village)</w:t>
            </w:r>
          </w:p>
          <w:p w14:paraId="23161BD7" w14:textId="77777777" w:rsidR="00E270B9" w:rsidRDefault="00E270B9" w:rsidP="00283F5D">
            <w:pPr>
              <w:pStyle w:val="BulletPoints"/>
              <w:numPr>
                <w:ilvl w:val="0"/>
                <w:numId w:val="0"/>
              </w:numPr>
              <w:spacing w:after="0"/>
              <w:rPr>
                <w:rFonts w:asciiTheme="minorHAnsi" w:hAnsiTheme="minorHAnsi" w:cstheme="minorHAnsi"/>
                <w:b/>
                <w:bCs/>
                <w:iCs/>
                <w:sz w:val="22"/>
                <w:szCs w:val="22"/>
              </w:rPr>
            </w:pPr>
          </w:p>
          <w:p w14:paraId="4FA9DABC" w14:textId="77777777" w:rsidR="00E270B9" w:rsidRDefault="00E270B9" w:rsidP="00E270B9">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Communities were already engaging in multiple adaptation-in-place strategies including seawall construction, drainage improvements, mangrove planting, raised housing, evacuation planning, and maintaining plantation or inland homes.</w:t>
            </w:r>
            <w:r>
              <w:rPr>
                <w:rFonts w:asciiTheme="minorHAnsi" w:hAnsiTheme="minorHAnsi" w:cstheme="minorHAnsi"/>
                <w:iCs/>
                <w:sz w:val="22"/>
                <w:szCs w:val="22"/>
              </w:rPr>
              <w:t xml:space="preserve">  </w:t>
            </w:r>
            <w:r w:rsidRPr="00CC57D2">
              <w:rPr>
                <w:rFonts w:asciiTheme="minorHAnsi" w:hAnsiTheme="minorHAnsi" w:cstheme="minorHAnsi"/>
                <w:iCs/>
                <w:sz w:val="22"/>
                <w:szCs w:val="22"/>
              </w:rPr>
              <w:t>The findings suggest that remaining in place was not passive immobility, but an active and ongoing adaptation strategy grounded in attachment to Vanua and community continuity.</w:t>
            </w:r>
          </w:p>
          <w:p w14:paraId="2CBFA857" w14:textId="77777777" w:rsidR="00E270B9" w:rsidRDefault="00E270B9" w:rsidP="00283F5D">
            <w:pPr>
              <w:pStyle w:val="BulletPoints"/>
              <w:numPr>
                <w:ilvl w:val="0"/>
                <w:numId w:val="0"/>
              </w:numPr>
              <w:spacing w:after="0"/>
              <w:rPr>
                <w:rFonts w:asciiTheme="minorHAnsi" w:hAnsiTheme="minorHAnsi" w:cstheme="minorHAnsi"/>
                <w:b/>
                <w:bCs/>
                <w:iCs/>
                <w:sz w:val="22"/>
                <w:szCs w:val="22"/>
              </w:rPr>
            </w:pPr>
          </w:p>
          <w:p w14:paraId="34CBB647" w14:textId="77777777" w:rsidR="00E270B9" w:rsidRDefault="00E270B9" w:rsidP="00283F5D">
            <w:pPr>
              <w:pStyle w:val="BulletPoints"/>
              <w:numPr>
                <w:ilvl w:val="0"/>
                <w:numId w:val="0"/>
              </w:numPr>
              <w:spacing w:after="0"/>
              <w:rPr>
                <w:rFonts w:asciiTheme="minorHAnsi" w:hAnsiTheme="minorHAnsi" w:cstheme="minorHAnsi"/>
                <w:b/>
                <w:bCs/>
                <w:iCs/>
                <w:sz w:val="22"/>
                <w:szCs w:val="22"/>
              </w:rPr>
            </w:pPr>
          </w:p>
          <w:p w14:paraId="460076B0" w14:textId="42CD4E10" w:rsidR="007D0208" w:rsidRDefault="007D0208" w:rsidP="00283F5D">
            <w:pPr>
              <w:pStyle w:val="BulletPoints"/>
              <w:numPr>
                <w:ilvl w:val="0"/>
                <w:numId w:val="0"/>
              </w:numPr>
              <w:spacing w:after="0"/>
              <w:rPr>
                <w:rFonts w:asciiTheme="minorHAnsi" w:hAnsiTheme="minorHAnsi" w:cstheme="minorHAnsi"/>
                <w:iCs/>
                <w:sz w:val="22"/>
                <w:szCs w:val="22"/>
              </w:rPr>
            </w:pPr>
            <w:r w:rsidRPr="00CB55DE">
              <w:rPr>
                <w:rFonts w:asciiTheme="minorHAnsi" w:hAnsiTheme="minorHAnsi" w:cstheme="minorHAnsi"/>
                <w:b/>
                <w:bCs/>
                <w:iCs/>
                <w:noProof/>
                <w:sz w:val="22"/>
                <w:szCs w:val="22"/>
              </w:rPr>
              <w:drawing>
                <wp:inline distT="0" distB="0" distL="0" distR="0" wp14:anchorId="5938A190" wp14:editId="1398EFD1">
                  <wp:extent cx="3159045" cy="2228850"/>
                  <wp:effectExtent l="0" t="0" r="3810" b="0"/>
                  <wp:docPr id="599363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5205" cy="2233196"/>
                          </a:xfrm>
                          <a:prstGeom prst="rect">
                            <a:avLst/>
                          </a:prstGeom>
                          <a:noFill/>
                          <a:ln>
                            <a:noFill/>
                          </a:ln>
                        </pic:spPr>
                      </pic:pic>
                    </a:graphicData>
                  </a:graphic>
                </wp:inline>
              </w:drawing>
            </w:r>
          </w:p>
          <w:p w14:paraId="21442B93" w14:textId="295AADF5" w:rsidR="00703A00" w:rsidRDefault="007D0208" w:rsidP="004C5210">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b/>
                <w:bCs/>
                <w:iCs/>
                <w:sz w:val="22"/>
                <w:szCs w:val="22"/>
              </w:rPr>
              <w:t xml:space="preserve">Figure </w:t>
            </w:r>
            <w:r w:rsidR="000B75F8">
              <w:rPr>
                <w:rFonts w:asciiTheme="minorHAnsi" w:hAnsiTheme="minorHAnsi" w:cstheme="minorHAnsi"/>
                <w:b/>
                <w:bCs/>
                <w:iCs/>
                <w:sz w:val="22"/>
                <w:szCs w:val="22"/>
              </w:rPr>
              <w:t>3</w:t>
            </w:r>
            <w:r w:rsidRPr="00CC57D2">
              <w:rPr>
                <w:rFonts w:asciiTheme="minorHAnsi" w:hAnsiTheme="minorHAnsi" w:cstheme="minorHAnsi"/>
                <w:b/>
                <w:bCs/>
                <w:iCs/>
                <w:sz w:val="22"/>
                <w:szCs w:val="22"/>
              </w:rPr>
              <w:t xml:space="preserve">. </w:t>
            </w:r>
            <w:r w:rsidRPr="00CB55DE">
              <w:rPr>
                <w:rFonts w:asciiTheme="minorHAnsi" w:hAnsiTheme="minorHAnsi" w:cstheme="minorHAnsi"/>
                <w:b/>
                <w:bCs/>
                <w:iCs/>
                <w:sz w:val="22"/>
                <w:szCs w:val="22"/>
              </w:rPr>
              <w:t>“My grandparents built this home…today I am the only surviving occupant, and this house holds so much sentimental value to me…it grounds me, it situates me, it’s a story of survival, a story of hope…. memories of my Mum and Dad echo through the walls.”</w:t>
            </w:r>
            <w:r>
              <w:rPr>
                <w:rFonts w:asciiTheme="minorHAnsi" w:hAnsiTheme="minorHAnsi" w:cstheme="minorHAnsi"/>
                <w:b/>
                <w:bCs/>
                <w:iCs/>
                <w:sz w:val="22"/>
                <w:szCs w:val="22"/>
              </w:rPr>
              <w:t xml:space="preserve"> (Participant, </w:t>
            </w:r>
            <w:proofErr w:type="spellStart"/>
            <w:r>
              <w:rPr>
                <w:rFonts w:asciiTheme="minorHAnsi" w:hAnsiTheme="minorHAnsi" w:cstheme="minorHAnsi"/>
                <w:b/>
                <w:bCs/>
                <w:iCs/>
                <w:sz w:val="22"/>
                <w:szCs w:val="22"/>
              </w:rPr>
              <w:t>Yadua</w:t>
            </w:r>
            <w:proofErr w:type="spellEnd"/>
            <w:r>
              <w:rPr>
                <w:rFonts w:asciiTheme="minorHAnsi" w:hAnsiTheme="minorHAnsi" w:cstheme="minorHAnsi"/>
                <w:b/>
                <w:bCs/>
                <w:iCs/>
                <w:sz w:val="22"/>
                <w:szCs w:val="22"/>
              </w:rPr>
              <w:t xml:space="preserve"> Village)</w:t>
            </w:r>
          </w:p>
          <w:p w14:paraId="63E1D03C" w14:textId="77777777" w:rsidR="004C5210" w:rsidRPr="00CC57D2" w:rsidRDefault="004C5210" w:rsidP="004C5210">
            <w:pPr>
              <w:pStyle w:val="BulletPoints"/>
              <w:numPr>
                <w:ilvl w:val="0"/>
                <w:numId w:val="0"/>
              </w:numPr>
              <w:spacing w:after="0"/>
              <w:rPr>
                <w:rFonts w:asciiTheme="minorHAnsi" w:hAnsiTheme="minorHAnsi" w:cstheme="minorHAnsi"/>
                <w:iCs/>
                <w:sz w:val="22"/>
                <w:szCs w:val="22"/>
              </w:rPr>
            </w:pPr>
          </w:p>
          <w:p w14:paraId="136564D4" w14:textId="741AC296" w:rsidR="007F7672" w:rsidRPr="00CC57D2" w:rsidRDefault="007F7672" w:rsidP="00283F5D">
            <w:pPr>
              <w:pStyle w:val="BulletPoints"/>
              <w:numPr>
                <w:ilvl w:val="0"/>
                <w:numId w:val="42"/>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Gendered and generational differences shape climate adaptation and mobility</w:t>
            </w:r>
          </w:p>
          <w:p w14:paraId="21716953" w14:textId="00FEF4A4" w:rsidR="007F7672" w:rsidRPr="00CC57D2" w:rsidRDefault="007F7672"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research found that climate impacts, adaptation practices, and mobility experiences differed across genders and generations, with young women emerging as central to in-situ adaptation and strongly committed to staying.</w:t>
            </w:r>
          </w:p>
          <w:p w14:paraId="1697FAAB" w14:textId="77777777" w:rsidR="007F7672" w:rsidRPr="00CC57D2" w:rsidRDefault="007F7672" w:rsidP="00283F5D">
            <w:pPr>
              <w:pStyle w:val="BulletPoints"/>
              <w:numPr>
                <w:ilvl w:val="0"/>
                <w:numId w:val="0"/>
              </w:numPr>
              <w:spacing w:after="0"/>
              <w:rPr>
                <w:rFonts w:asciiTheme="minorHAnsi" w:hAnsiTheme="minorHAnsi" w:cstheme="minorHAnsi"/>
                <w:iCs/>
                <w:sz w:val="22"/>
                <w:szCs w:val="22"/>
              </w:rPr>
            </w:pPr>
          </w:p>
          <w:p w14:paraId="15581651" w14:textId="64EB11E7" w:rsidR="00CB55DE" w:rsidRPr="00CC57D2" w:rsidRDefault="00CB55DE" w:rsidP="00283F5D">
            <w:pPr>
              <w:pStyle w:val="BulletPoints"/>
              <w:numPr>
                <w:ilvl w:val="0"/>
                <w:numId w:val="0"/>
              </w:numPr>
              <w:spacing w:after="0"/>
              <w:jc w:val="center"/>
              <w:rPr>
                <w:rFonts w:asciiTheme="minorHAnsi" w:hAnsiTheme="minorHAnsi" w:cstheme="minorHAnsi"/>
                <w:iCs/>
                <w:sz w:val="22"/>
                <w:szCs w:val="22"/>
              </w:rPr>
            </w:pPr>
            <w:r w:rsidRPr="00CB55DE">
              <w:rPr>
                <w:rFonts w:asciiTheme="minorHAnsi" w:hAnsiTheme="minorHAnsi" w:cstheme="minorHAnsi"/>
                <w:iCs/>
                <w:noProof/>
                <w:sz w:val="22"/>
                <w:szCs w:val="22"/>
              </w:rPr>
              <w:drawing>
                <wp:inline distT="0" distB="0" distL="0" distR="0" wp14:anchorId="20BD9FB1" wp14:editId="12CEE31F">
                  <wp:extent cx="2781420" cy="3323645"/>
                  <wp:effectExtent l="0" t="0" r="0" b="0"/>
                  <wp:docPr id="8514394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4249" cy="3350924"/>
                          </a:xfrm>
                          <a:prstGeom prst="rect">
                            <a:avLst/>
                          </a:prstGeom>
                          <a:noFill/>
                          <a:ln>
                            <a:noFill/>
                          </a:ln>
                        </pic:spPr>
                      </pic:pic>
                    </a:graphicData>
                  </a:graphic>
                </wp:inline>
              </w:drawing>
            </w:r>
          </w:p>
          <w:p w14:paraId="21C5538C" w14:textId="77777777" w:rsidR="007F7672" w:rsidRPr="00CC57D2" w:rsidRDefault="007F7672" w:rsidP="00283F5D">
            <w:pPr>
              <w:pStyle w:val="BulletPoints"/>
              <w:numPr>
                <w:ilvl w:val="0"/>
                <w:numId w:val="0"/>
              </w:numPr>
              <w:spacing w:after="0"/>
              <w:rPr>
                <w:rFonts w:asciiTheme="minorHAnsi" w:hAnsiTheme="minorHAnsi" w:cstheme="minorHAnsi"/>
                <w:iCs/>
                <w:sz w:val="22"/>
                <w:szCs w:val="22"/>
              </w:rPr>
            </w:pPr>
          </w:p>
          <w:p w14:paraId="7899C82C" w14:textId="48DA8477" w:rsidR="00703A00" w:rsidRDefault="00703A00" w:rsidP="00283F5D">
            <w:pPr>
              <w:pStyle w:val="BulletPoints"/>
              <w:numPr>
                <w:ilvl w:val="0"/>
                <w:numId w:val="0"/>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4. </w:t>
            </w:r>
            <w:r w:rsidR="00CB55DE" w:rsidRPr="00CB55DE">
              <w:rPr>
                <w:rFonts w:asciiTheme="minorHAnsi" w:hAnsiTheme="minorHAnsi" w:cstheme="minorHAnsi"/>
                <w:b/>
                <w:bCs/>
                <w:iCs/>
                <w:sz w:val="22"/>
                <w:szCs w:val="22"/>
              </w:rPr>
              <w:t xml:space="preserve">“My grandparents are both from </w:t>
            </w:r>
            <w:proofErr w:type="spellStart"/>
            <w:r w:rsidR="00CB55DE" w:rsidRPr="00CB55DE">
              <w:rPr>
                <w:rFonts w:asciiTheme="minorHAnsi" w:hAnsiTheme="minorHAnsi" w:cstheme="minorHAnsi"/>
                <w:b/>
                <w:bCs/>
                <w:iCs/>
                <w:sz w:val="22"/>
                <w:szCs w:val="22"/>
              </w:rPr>
              <w:t>Yadua</w:t>
            </w:r>
            <w:proofErr w:type="spellEnd"/>
            <w:r w:rsidR="00CB55DE" w:rsidRPr="00CB55DE">
              <w:rPr>
                <w:rFonts w:asciiTheme="minorHAnsi" w:hAnsiTheme="minorHAnsi" w:cstheme="minorHAnsi"/>
                <w:b/>
                <w:bCs/>
                <w:iCs/>
                <w:sz w:val="22"/>
                <w:szCs w:val="22"/>
              </w:rPr>
              <w:t xml:space="preserve"> and they are both buried here. This always holds me back and keeps me grounded here.”</w:t>
            </w:r>
            <w:r w:rsidR="00CB55DE">
              <w:rPr>
                <w:rFonts w:asciiTheme="minorHAnsi" w:hAnsiTheme="minorHAnsi" w:cstheme="minorHAnsi"/>
                <w:b/>
                <w:bCs/>
                <w:iCs/>
                <w:sz w:val="22"/>
                <w:szCs w:val="22"/>
              </w:rPr>
              <w:t xml:space="preserve"> (Participant, </w:t>
            </w:r>
            <w:proofErr w:type="spellStart"/>
            <w:r w:rsidR="00CB55DE">
              <w:rPr>
                <w:rFonts w:asciiTheme="minorHAnsi" w:hAnsiTheme="minorHAnsi" w:cstheme="minorHAnsi"/>
                <w:b/>
                <w:bCs/>
                <w:iCs/>
                <w:sz w:val="22"/>
                <w:szCs w:val="22"/>
              </w:rPr>
              <w:t>Yadua</w:t>
            </w:r>
            <w:proofErr w:type="spellEnd"/>
            <w:r w:rsidR="00CB55DE">
              <w:rPr>
                <w:rFonts w:asciiTheme="minorHAnsi" w:hAnsiTheme="minorHAnsi" w:cstheme="minorHAnsi"/>
                <w:b/>
                <w:bCs/>
                <w:iCs/>
                <w:sz w:val="22"/>
                <w:szCs w:val="22"/>
              </w:rPr>
              <w:t xml:space="preserve"> Village)</w:t>
            </w:r>
          </w:p>
          <w:p w14:paraId="14405144" w14:textId="77777777" w:rsidR="00283F5D" w:rsidRDefault="00283F5D" w:rsidP="00283F5D">
            <w:pPr>
              <w:pStyle w:val="BulletPoints"/>
              <w:numPr>
                <w:ilvl w:val="0"/>
                <w:numId w:val="0"/>
              </w:numPr>
              <w:spacing w:after="0"/>
              <w:rPr>
                <w:rFonts w:asciiTheme="minorHAnsi" w:hAnsiTheme="minorHAnsi" w:cstheme="minorHAnsi"/>
                <w:iCs/>
                <w:sz w:val="22"/>
                <w:szCs w:val="22"/>
              </w:rPr>
            </w:pPr>
          </w:p>
          <w:p w14:paraId="721AEB1B" w14:textId="0EDB75BB" w:rsidR="00283F5D" w:rsidRPr="00CC57D2" w:rsidRDefault="00283F5D"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Photovoice findings showed that younger women frequently expressed strong attachment to Vanua and resistance to permanent relocation, despite recognising increasing environmental pressures.</w:t>
            </w:r>
          </w:p>
          <w:p w14:paraId="2D0281B6" w14:textId="2EBC857D" w:rsidR="007E4100" w:rsidRPr="004C5210" w:rsidRDefault="00283F5D"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findings suggest that climate adaptation policy should recognise women not only as disproportionately affected by climate change, but also as central actors in sustaining resilience and adaptation within village communities.</w:t>
            </w:r>
          </w:p>
          <w:p w14:paraId="1A60AA35" w14:textId="77777777" w:rsidR="007E4100" w:rsidRPr="00CC57D2" w:rsidRDefault="007E4100" w:rsidP="00283F5D">
            <w:pPr>
              <w:pStyle w:val="BulletPoints"/>
              <w:numPr>
                <w:ilvl w:val="0"/>
                <w:numId w:val="0"/>
              </w:numPr>
              <w:spacing w:after="0"/>
              <w:rPr>
                <w:rFonts w:asciiTheme="minorHAnsi" w:hAnsiTheme="minorHAnsi" w:cstheme="minorHAnsi"/>
                <w:b/>
                <w:bCs/>
                <w:iCs/>
                <w:sz w:val="22"/>
                <w:szCs w:val="22"/>
              </w:rPr>
            </w:pPr>
          </w:p>
          <w:p w14:paraId="43C755B9" w14:textId="4FF042D6" w:rsidR="007E4100" w:rsidRPr="00CC57D2" w:rsidRDefault="007E4100" w:rsidP="00283F5D">
            <w:pPr>
              <w:pStyle w:val="BulletPoints"/>
              <w:numPr>
                <w:ilvl w:val="0"/>
                <w:numId w:val="42"/>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Micro-mobility functions as a form of resilience</w:t>
            </w:r>
          </w:p>
          <w:p w14:paraId="0FC8370A"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research found that short-term, circular, and selective forms of mobility enabled households to sustain livelihoods, relationships, and identity across dispersed spaces.</w:t>
            </w:r>
          </w:p>
          <w:p w14:paraId="0EF4445E"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Participants described temporary movement during disasters, maintaining plantation or inland homes, labour mobility, education-related movement, and movement between kinship networks as important adaptation practices. These forms of mobility were often flexible, ongoing, and reversible rather than permanent.</w:t>
            </w:r>
          </w:p>
          <w:p w14:paraId="4BEF736F"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Rather than severing ties to place, micro-mobility enabled participants to maintain connections to Vanua while responding pragmatically to changing environmental and social conditions.</w:t>
            </w:r>
          </w:p>
          <w:p w14:paraId="3EA141B0" w14:textId="40C35858" w:rsidR="00703A00" w:rsidRDefault="007E4100" w:rsidP="004C5210">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findings challenge policy frameworks that focus primarily on permanent relocation and highlight the importance of recognising localised and everyday forms of mobility within climate adaptation planning.</w:t>
            </w:r>
          </w:p>
          <w:p w14:paraId="3287D7C8" w14:textId="77777777" w:rsidR="004C5210" w:rsidRPr="00CC57D2" w:rsidRDefault="004C5210" w:rsidP="004C5210">
            <w:pPr>
              <w:pStyle w:val="BulletPoints"/>
              <w:numPr>
                <w:ilvl w:val="0"/>
                <w:numId w:val="0"/>
              </w:numPr>
              <w:spacing w:after="0"/>
              <w:rPr>
                <w:rFonts w:asciiTheme="minorHAnsi" w:hAnsiTheme="minorHAnsi" w:cstheme="minorHAnsi"/>
                <w:iCs/>
                <w:sz w:val="22"/>
                <w:szCs w:val="22"/>
              </w:rPr>
            </w:pPr>
          </w:p>
          <w:p w14:paraId="50FDD798" w14:textId="50CA1770" w:rsidR="007E4100" w:rsidRDefault="007E4100" w:rsidP="00283F5D">
            <w:pPr>
              <w:pStyle w:val="BulletPoints"/>
              <w:numPr>
                <w:ilvl w:val="0"/>
                <w:numId w:val="42"/>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Combining the Fijian Vanua Research Framework with Participatory Visual Methods supported relational, reciprocal, and culturally grounded climate mobility research</w:t>
            </w:r>
          </w:p>
          <w:p w14:paraId="52682D34" w14:textId="77777777" w:rsidR="00283F5D" w:rsidRPr="00CC57D2" w:rsidRDefault="00283F5D" w:rsidP="00283F5D">
            <w:pPr>
              <w:pStyle w:val="BulletPoints"/>
              <w:numPr>
                <w:ilvl w:val="0"/>
                <w:numId w:val="0"/>
              </w:numPr>
              <w:spacing w:after="0"/>
              <w:rPr>
                <w:rFonts w:asciiTheme="minorHAnsi" w:hAnsiTheme="minorHAnsi" w:cstheme="minorHAnsi"/>
                <w:b/>
                <w:bCs/>
                <w:iCs/>
                <w:sz w:val="22"/>
                <w:szCs w:val="22"/>
              </w:rPr>
            </w:pPr>
          </w:p>
          <w:p w14:paraId="6B3D5A3B"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The research found that combining the Fijian Vanua Research Framework (FVRF) with Participatory Visual Methods including Photovoice, mobility mapping, creative artworks developed from participant photographs, and illustrated fieldwork journalling created a culturally grounded and relational approach that was highly effective for climate mobility research in Fiji.</w:t>
            </w:r>
          </w:p>
          <w:p w14:paraId="076143E0"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p>
          <w:p w14:paraId="2BBB6E70"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Photovoice generated rich participant-led insights into lived experiences of climate change, while the FVRF ensured that research processes were enacted through relational accountability, co-creation, care, and reciprocity. Q-sort and mobility mapping complemented these approaches by supporting interpretive rigour and spatial understanding.</w:t>
            </w:r>
          </w:p>
          <w:p w14:paraId="6EF756BA"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p>
          <w:p w14:paraId="3C3C8FCC" w14:textId="77777777" w:rsidR="000B75F8" w:rsidRDefault="000B75F8" w:rsidP="00283F5D">
            <w:pPr>
              <w:pStyle w:val="BulletPoints"/>
              <w:numPr>
                <w:ilvl w:val="0"/>
                <w:numId w:val="0"/>
              </w:numPr>
              <w:spacing w:after="0"/>
              <w:rPr>
                <w:rFonts w:asciiTheme="minorHAnsi" w:hAnsiTheme="minorHAnsi" w:cstheme="minorHAnsi"/>
                <w:iCs/>
                <w:sz w:val="22"/>
                <w:szCs w:val="22"/>
              </w:rPr>
            </w:pPr>
          </w:p>
          <w:p w14:paraId="364A66A7" w14:textId="5F50D4BB" w:rsidR="000B75F8" w:rsidRDefault="000B75F8" w:rsidP="00283F5D">
            <w:pPr>
              <w:pStyle w:val="BulletPoints"/>
              <w:numPr>
                <w:ilvl w:val="0"/>
                <w:numId w:val="0"/>
              </w:numPr>
              <w:spacing w:after="0"/>
              <w:rPr>
                <w:rFonts w:asciiTheme="minorHAnsi" w:hAnsiTheme="minorHAnsi" w:cstheme="minorHAnsi"/>
                <w:iCs/>
                <w:sz w:val="22"/>
                <w:szCs w:val="22"/>
              </w:rPr>
            </w:pPr>
            <w:r>
              <w:rPr>
                <w:noProof/>
              </w:rPr>
              <w:drawing>
                <wp:inline distT="0" distB="0" distL="0" distR="0" wp14:anchorId="3AFDEF63" wp14:editId="67DFA747">
                  <wp:extent cx="3076575" cy="1971175"/>
                  <wp:effectExtent l="0" t="0" r="0" b="0"/>
                  <wp:docPr id="1030041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41277" name=""/>
                          <pic:cNvPicPr/>
                        </pic:nvPicPr>
                        <pic:blipFill>
                          <a:blip r:embed="rId21"/>
                          <a:stretch>
                            <a:fillRect/>
                          </a:stretch>
                        </pic:blipFill>
                        <pic:spPr>
                          <a:xfrm>
                            <a:off x="0" y="0"/>
                            <a:ext cx="3105402" cy="1989644"/>
                          </a:xfrm>
                          <a:prstGeom prst="rect">
                            <a:avLst/>
                          </a:prstGeom>
                        </pic:spPr>
                      </pic:pic>
                    </a:graphicData>
                  </a:graphic>
                </wp:inline>
              </w:drawing>
            </w:r>
          </w:p>
          <w:p w14:paraId="698DE407" w14:textId="129E2812" w:rsidR="000B75F8" w:rsidRDefault="000B75F8" w:rsidP="000B75F8">
            <w:pPr>
              <w:pStyle w:val="BulletPoints"/>
              <w:numPr>
                <w:ilvl w:val="0"/>
                <w:numId w:val="0"/>
              </w:numPr>
              <w:spacing w:after="0"/>
              <w:jc w:val="center"/>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5. </w:t>
            </w:r>
            <w:r>
              <w:rPr>
                <w:rFonts w:asciiTheme="minorHAnsi" w:hAnsiTheme="minorHAnsi" w:cstheme="minorHAnsi"/>
                <w:b/>
                <w:bCs/>
                <w:iCs/>
                <w:sz w:val="22"/>
                <w:szCs w:val="22"/>
              </w:rPr>
              <w:t xml:space="preserve">Collecting Photovoice images and stories with local participants in </w:t>
            </w:r>
            <w:proofErr w:type="spellStart"/>
            <w:r>
              <w:rPr>
                <w:rFonts w:asciiTheme="minorHAnsi" w:hAnsiTheme="minorHAnsi" w:cstheme="minorHAnsi"/>
                <w:b/>
                <w:bCs/>
                <w:iCs/>
                <w:sz w:val="22"/>
                <w:szCs w:val="22"/>
              </w:rPr>
              <w:t>Galoa</w:t>
            </w:r>
            <w:proofErr w:type="spellEnd"/>
            <w:r>
              <w:rPr>
                <w:rFonts w:asciiTheme="minorHAnsi" w:hAnsiTheme="minorHAnsi" w:cstheme="minorHAnsi"/>
                <w:b/>
                <w:bCs/>
                <w:iCs/>
                <w:sz w:val="22"/>
                <w:szCs w:val="22"/>
              </w:rPr>
              <w:t xml:space="preserve">, </w:t>
            </w:r>
            <w:proofErr w:type="gramStart"/>
            <w:r>
              <w:rPr>
                <w:rFonts w:asciiTheme="minorHAnsi" w:hAnsiTheme="minorHAnsi" w:cstheme="minorHAnsi"/>
                <w:b/>
                <w:bCs/>
                <w:iCs/>
                <w:sz w:val="22"/>
                <w:szCs w:val="22"/>
              </w:rPr>
              <w:t>September,</w:t>
            </w:r>
            <w:proofErr w:type="gramEnd"/>
            <w:r>
              <w:rPr>
                <w:rFonts w:asciiTheme="minorHAnsi" w:hAnsiTheme="minorHAnsi" w:cstheme="minorHAnsi"/>
                <w:b/>
                <w:bCs/>
                <w:iCs/>
                <w:sz w:val="22"/>
                <w:szCs w:val="22"/>
              </w:rPr>
              <w:t xml:space="preserve"> 2025.</w:t>
            </w:r>
          </w:p>
          <w:p w14:paraId="27F68BE5" w14:textId="77777777" w:rsidR="000B75F8" w:rsidRDefault="000B75F8" w:rsidP="000B75F8">
            <w:pPr>
              <w:pStyle w:val="BulletPoints"/>
              <w:numPr>
                <w:ilvl w:val="0"/>
                <w:numId w:val="0"/>
              </w:numPr>
              <w:spacing w:after="0"/>
              <w:jc w:val="center"/>
              <w:rPr>
                <w:rFonts w:asciiTheme="minorHAnsi" w:hAnsiTheme="minorHAnsi" w:cstheme="minorHAnsi"/>
                <w:b/>
                <w:bCs/>
                <w:iCs/>
                <w:sz w:val="22"/>
                <w:szCs w:val="22"/>
              </w:rPr>
            </w:pPr>
          </w:p>
          <w:p w14:paraId="25A71051" w14:textId="054968CF" w:rsidR="000B75F8" w:rsidRDefault="000B75F8" w:rsidP="00283F5D">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 xml:space="preserve">A creative artwork process developed within the research </w:t>
            </w:r>
            <w:r w:rsidR="00FD11E1">
              <w:rPr>
                <w:rFonts w:asciiTheme="minorHAnsi" w:hAnsiTheme="minorHAnsi" w:cstheme="minorHAnsi"/>
                <w:iCs/>
                <w:sz w:val="22"/>
                <w:szCs w:val="22"/>
              </w:rPr>
              <w:t>designed to extend</w:t>
            </w:r>
            <w:r w:rsidRPr="00CC57D2">
              <w:rPr>
                <w:rFonts w:asciiTheme="minorHAnsi" w:hAnsiTheme="minorHAnsi" w:cstheme="minorHAnsi"/>
                <w:iCs/>
                <w:sz w:val="22"/>
                <w:szCs w:val="22"/>
              </w:rPr>
              <w:t xml:space="preserve"> the reciprocal principles of the FVRF. Participant-selected photographs were transformed into painted artworks</w:t>
            </w:r>
            <w:r>
              <w:rPr>
                <w:rFonts w:asciiTheme="minorHAnsi" w:hAnsiTheme="minorHAnsi" w:cstheme="minorHAnsi"/>
                <w:iCs/>
                <w:sz w:val="22"/>
                <w:szCs w:val="22"/>
              </w:rPr>
              <w:t xml:space="preserve"> by volunteer artists in </w:t>
            </w:r>
            <w:r w:rsidR="004C2181">
              <w:rPr>
                <w:rFonts w:asciiTheme="minorHAnsi" w:hAnsiTheme="minorHAnsi" w:cstheme="minorHAnsi"/>
                <w:iCs/>
                <w:sz w:val="22"/>
                <w:szCs w:val="22"/>
              </w:rPr>
              <w:t>Auckland and</w:t>
            </w:r>
            <w:r w:rsidRPr="00CC57D2">
              <w:rPr>
                <w:rFonts w:asciiTheme="minorHAnsi" w:hAnsiTheme="minorHAnsi" w:cstheme="minorHAnsi"/>
                <w:iCs/>
                <w:sz w:val="22"/>
                <w:szCs w:val="22"/>
              </w:rPr>
              <w:t xml:space="preserve"> returned to communities as framed gifts. </w:t>
            </w:r>
          </w:p>
          <w:p w14:paraId="50D2D555" w14:textId="77777777" w:rsidR="00FD11E1" w:rsidRDefault="00FD11E1" w:rsidP="00283F5D">
            <w:pPr>
              <w:pStyle w:val="BulletPoints"/>
              <w:numPr>
                <w:ilvl w:val="0"/>
                <w:numId w:val="0"/>
              </w:numPr>
              <w:spacing w:after="0"/>
              <w:rPr>
                <w:rFonts w:asciiTheme="minorHAnsi" w:hAnsiTheme="minorHAnsi" w:cstheme="minorHAnsi"/>
                <w:iCs/>
                <w:sz w:val="22"/>
                <w:szCs w:val="22"/>
              </w:rPr>
            </w:pPr>
          </w:p>
          <w:p w14:paraId="131D1D6D" w14:textId="342686F7" w:rsidR="004C5210" w:rsidRDefault="004C5210" w:rsidP="004C5210">
            <w:pPr>
              <w:pStyle w:val="BulletPoints"/>
              <w:numPr>
                <w:ilvl w:val="0"/>
                <w:numId w:val="0"/>
              </w:numPr>
              <w:spacing w:after="0"/>
              <w:jc w:val="center"/>
              <w:rPr>
                <w:rFonts w:asciiTheme="minorHAnsi" w:hAnsiTheme="minorHAnsi" w:cstheme="minorHAnsi"/>
                <w:iCs/>
                <w:sz w:val="22"/>
                <w:szCs w:val="22"/>
              </w:rPr>
            </w:pPr>
            <w:r w:rsidRPr="004C5210">
              <w:rPr>
                <w:rFonts w:asciiTheme="minorHAnsi" w:hAnsiTheme="minorHAnsi" w:cstheme="minorHAnsi"/>
                <w:iCs/>
                <w:noProof/>
                <w:sz w:val="22"/>
                <w:szCs w:val="22"/>
              </w:rPr>
              <w:drawing>
                <wp:inline distT="0" distB="0" distL="0" distR="0" wp14:anchorId="45147DEF" wp14:editId="09C0B8A3">
                  <wp:extent cx="3184907" cy="2099144"/>
                  <wp:effectExtent l="0" t="0" r="0" b="0"/>
                  <wp:docPr id="95293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33203" name=""/>
                          <pic:cNvPicPr/>
                        </pic:nvPicPr>
                        <pic:blipFill>
                          <a:blip r:embed="rId22"/>
                          <a:stretch>
                            <a:fillRect/>
                          </a:stretch>
                        </pic:blipFill>
                        <pic:spPr>
                          <a:xfrm>
                            <a:off x="0" y="0"/>
                            <a:ext cx="3190237" cy="2102657"/>
                          </a:xfrm>
                          <a:prstGeom prst="rect">
                            <a:avLst/>
                          </a:prstGeom>
                        </pic:spPr>
                      </pic:pic>
                    </a:graphicData>
                  </a:graphic>
                </wp:inline>
              </w:drawing>
            </w:r>
          </w:p>
          <w:p w14:paraId="2038BE4A" w14:textId="36570EE8" w:rsidR="004C5210" w:rsidRDefault="004C5210" w:rsidP="00FD11E1">
            <w:pPr>
              <w:pStyle w:val="BulletPoints"/>
              <w:numPr>
                <w:ilvl w:val="0"/>
                <w:numId w:val="0"/>
              </w:numPr>
              <w:spacing w:after="0"/>
              <w:jc w:val="left"/>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w:t>
            </w:r>
            <w:r w:rsidR="004C2181">
              <w:rPr>
                <w:rFonts w:asciiTheme="minorHAnsi" w:hAnsiTheme="minorHAnsi" w:cstheme="minorHAnsi"/>
                <w:b/>
                <w:bCs/>
                <w:iCs/>
                <w:sz w:val="22"/>
                <w:szCs w:val="22"/>
              </w:rPr>
              <w:t>6</w:t>
            </w:r>
            <w:r w:rsidRPr="00CC57D2">
              <w:rPr>
                <w:rFonts w:asciiTheme="minorHAnsi" w:hAnsiTheme="minorHAnsi" w:cstheme="minorHAnsi"/>
                <w:b/>
                <w:bCs/>
                <w:iCs/>
                <w:sz w:val="22"/>
                <w:szCs w:val="22"/>
              </w:rPr>
              <w:t xml:space="preserve">. </w:t>
            </w:r>
            <w:r>
              <w:rPr>
                <w:rFonts w:asciiTheme="minorHAnsi" w:hAnsiTheme="minorHAnsi" w:cstheme="minorHAnsi"/>
                <w:b/>
                <w:bCs/>
                <w:iCs/>
                <w:sz w:val="22"/>
                <w:szCs w:val="22"/>
              </w:rPr>
              <w:t>Participant directed artwork painted by volunteer in Auckland.</w:t>
            </w:r>
            <w:r w:rsidR="00FD11E1">
              <w:rPr>
                <w:rFonts w:asciiTheme="minorHAnsi" w:hAnsiTheme="minorHAnsi" w:cstheme="minorHAnsi"/>
                <w:b/>
                <w:bCs/>
                <w:iCs/>
                <w:sz w:val="22"/>
                <w:szCs w:val="22"/>
              </w:rPr>
              <w:t xml:space="preserve"> Gifted to Participant in </w:t>
            </w:r>
            <w:proofErr w:type="spellStart"/>
            <w:r w:rsidR="00FD11E1">
              <w:rPr>
                <w:rFonts w:asciiTheme="minorHAnsi" w:hAnsiTheme="minorHAnsi" w:cstheme="minorHAnsi"/>
                <w:b/>
                <w:bCs/>
                <w:iCs/>
                <w:sz w:val="22"/>
                <w:szCs w:val="22"/>
              </w:rPr>
              <w:t>Galoa</w:t>
            </w:r>
            <w:proofErr w:type="spellEnd"/>
            <w:r w:rsidR="00FD11E1">
              <w:rPr>
                <w:rFonts w:asciiTheme="minorHAnsi" w:hAnsiTheme="minorHAnsi" w:cstheme="minorHAnsi"/>
                <w:b/>
                <w:bCs/>
                <w:iCs/>
                <w:sz w:val="22"/>
                <w:szCs w:val="22"/>
              </w:rPr>
              <w:t>.</w:t>
            </w:r>
          </w:p>
          <w:p w14:paraId="4A92DC36" w14:textId="77777777" w:rsidR="00FD11E1" w:rsidRDefault="00FD11E1" w:rsidP="00FD11E1">
            <w:pPr>
              <w:pStyle w:val="BulletPoints"/>
              <w:numPr>
                <w:ilvl w:val="0"/>
                <w:numId w:val="0"/>
              </w:numPr>
              <w:spacing w:after="0"/>
              <w:jc w:val="left"/>
              <w:rPr>
                <w:rFonts w:asciiTheme="minorHAnsi" w:hAnsiTheme="minorHAnsi" w:cstheme="minorHAnsi"/>
                <w:b/>
                <w:bCs/>
                <w:iCs/>
                <w:sz w:val="22"/>
                <w:szCs w:val="22"/>
              </w:rPr>
            </w:pPr>
          </w:p>
          <w:p w14:paraId="0FC7D7F9" w14:textId="77777777" w:rsidR="009B7804" w:rsidRDefault="009B7804" w:rsidP="00283F5D">
            <w:pPr>
              <w:pStyle w:val="BulletPoints"/>
              <w:numPr>
                <w:ilvl w:val="0"/>
                <w:numId w:val="0"/>
              </w:numPr>
              <w:spacing w:after="0"/>
              <w:rPr>
                <w:rFonts w:asciiTheme="minorHAnsi" w:hAnsiTheme="minorHAnsi" w:cstheme="minorHAnsi"/>
                <w:iCs/>
                <w:sz w:val="22"/>
                <w:szCs w:val="22"/>
              </w:rPr>
            </w:pPr>
          </w:p>
          <w:p w14:paraId="65674151" w14:textId="45419F6F" w:rsidR="009B7804" w:rsidRDefault="009B7804" w:rsidP="00283F5D">
            <w:pPr>
              <w:pStyle w:val="BulletPoints"/>
              <w:numPr>
                <w:ilvl w:val="0"/>
                <w:numId w:val="0"/>
              </w:numPr>
              <w:spacing w:after="0"/>
              <w:rPr>
                <w:rFonts w:asciiTheme="minorHAnsi" w:hAnsiTheme="minorHAnsi" w:cstheme="minorHAnsi"/>
                <w:iCs/>
                <w:sz w:val="22"/>
                <w:szCs w:val="22"/>
              </w:rPr>
            </w:pPr>
            <w:r w:rsidRPr="00883963">
              <w:rPr>
                <w:noProof/>
              </w:rPr>
              <w:drawing>
                <wp:inline distT="0" distB="0" distL="0" distR="0" wp14:anchorId="018E4B75" wp14:editId="7136F08C">
                  <wp:extent cx="3529294" cy="1669774"/>
                  <wp:effectExtent l="0" t="0" r="0" b="6985"/>
                  <wp:docPr id="49686080" name="Picture 1" descr="A group of people holding up pos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6080" name="Picture 1" descr="A group of people holding up posters&#10;&#10;AI-generated content may be incorrect."/>
                          <pic:cNvPicPr/>
                        </pic:nvPicPr>
                        <pic:blipFill>
                          <a:blip r:embed="rId23"/>
                          <a:stretch>
                            <a:fillRect/>
                          </a:stretch>
                        </pic:blipFill>
                        <pic:spPr>
                          <a:xfrm>
                            <a:off x="0" y="0"/>
                            <a:ext cx="3585844" cy="1696529"/>
                          </a:xfrm>
                          <a:prstGeom prst="rect">
                            <a:avLst/>
                          </a:prstGeom>
                        </pic:spPr>
                      </pic:pic>
                    </a:graphicData>
                  </a:graphic>
                </wp:inline>
              </w:drawing>
            </w:r>
          </w:p>
          <w:p w14:paraId="32BAEA8C" w14:textId="77777777" w:rsidR="009B7804" w:rsidRDefault="009B7804" w:rsidP="00283F5D">
            <w:pPr>
              <w:pStyle w:val="BulletPoints"/>
              <w:numPr>
                <w:ilvl w:val="0"/>
                <w:numId w:val="0"/>
              </w:numPr>
              <w:spacing w:after="0"/>
              <w:rPr>
                <w:rFonts w:asciiTheme="minorHAnsi" w:hAnsiTheme="minorHAnsi" w:cstheme="minorHAnsi"/>
                <w:iCs/>
                <w:sz w:val="22"/>
                <w:szCs w:val="22"/>
              </w:rPr>
            </w:pPr>
          </w:p>
          <w:p w14:paraId="6B64D2CA" w14:textId="55192D01" w:rsidR="009B7804" w:rsidRDefault="004C5210" w:rsidP="00283F5D">
            <w:pPr>
              <w:pStyle w:val="BulletPoints"/>
              <w:numPr>
                <w:ilvl w:val="0"/>
                <w:numId w:val="0"/>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w:t>
            </w:r>
            <w:r w:rsidR="004C2181">
              <w:rPr>
                <w:rFonts w:asciiTheme="minorHAnsi" w:hAnsiTheme="minorHAnsi" w:cstheme="minorHAnsi"/>
                <w:b/>
                <w:bCs/>
                <w:iCs/>
                <w:sz w:val="22"/>
                <w:szCs w:val="22"/>
              </w:rPr>
              <w:t>7</w:t>
            </w:r>
            <w:r w:rsidRPr="00CC57D2">
              <w:rPr>
                <w:rFonts w:asciiTheme="minorHAnsi" w:hAnsiTheme="minorHAnsi" w:cstheme="minorHAnsi"/>
                <w:b/>
                <w:bCs/>
                <w:iCs/>
                <w:sz w:val="22"/>
                <w:szCs w:val="22"/>
              </w:rPr>
              <w:t xml:space="preserve">. </w:t>
            </w:r>
            <w:r>
              <w:rPr>
                <w:rFonts w:asciiTheme="minorHAnsi" w:hAnsiTheme="minorHAnsi" w:cstheme="minorHAnsi"/>
                <w:b/>
                <w:bCs/>
                <w:iCs/>
                <w:sz w:val="22"/>
                <w:szCs w:val="22"/>
              </w:rPr>
              <w:t xml:space="preserve">Volunteer artists </w:t>
            </w:r>
            <w:r w:rsidR="00FD11E1">
              <w:rPr>
                <w:rFonts w:asciiTheme="minorHAnsi" w:hAnsiTheme="minorHAnsi" w:cstheme="minorHAnsi"/>
                <w:b/>
                <w:bCs/>
                <w:iCs/>
                <w:sz w:val="22"/>
                <w:szCs w:val="22"/>
              </w:rPr>
              <w:t>from Urban Sketchers Auckland gathered</w:t>
            </w:r>
            <w:r>
              <w:rPr>
                <w:rFonts w:asciiTheme="minorHAnsi" w:hAnsiTheme="minorHAnsi" w:cstheme="minorHAnsi"/>
                <w:b/>
                <w:bCs/>
                <w:iCs/>
                <w:sz w:val="22"/>
                <w:szCs w:val="22"/>
              </w:rPr>
              <w:t xml:space="preserve"> to paint directed artworks to gift to participants from </w:t>
            </w:r>
            <w:proofErr w:type="spellStart"/>
            <w:r>
              <w:rPr>
                <w:rFonts w:asciiTheme="minorHAnsi" w:hAnsiTheme="minorHAnsi" w:cstheme="minorHAnsi"/>
                <w:b/>
                <w:bCs/>
                <w:iCs/>
                <w:sz w:val="22"/>
                <w:szCs w:val="22"/>
              </w:rPr>
              <w:t>Galoa</w:t>
            </w:r>
            <w:proofErr w:type="spellEnd"/>
            <w:r>
              <w:rPr>
                <w:rFonts w:asciiTheme="minorHAnsi" w:hAnsiTheme="minorHAnsi" w:cstheme="minorHAnsi"/>
                <w:b/>
                <w:bCs/>
                <w:iCs/>
                <w:sz w:val="22"/>
                <w:szCs w:val="22"/>
              </w:rPr>
              <w:t xml:space="preserve"> and </w:t>
            </w:r>
            <w:proofErr w:type="spellStart"/>
            <w:r>
              <w:rPr>
                <w:rFonts w:asciiTheme="minorHAnsi" w:hAnsiTheme="minorHAnsi" w:cstheme="minorHAnsi"/>
                <w:b/>
                <w:bCs/>
                <w:iCs/>
                <w:sz w:val="22"/>
                <w:szCs w:val="22"/>
              </w:rPr>
              <w:t>Yadua</w:t>
            </w:r>
            <w:proofErr w:type="spellEnd"/>
            <w:r>
              <w:rPr>
                <w:rFonts w:asciiTheme="minorHAnsi" w:hAnsiTheme="minorHAnsi" w:cstheme="minorHAnsi"/>
                <w:b/>
                <w:bCs/>
                <w:iCs/>
                <w:sz w:val="22"/>
                <w:szCs w:val="22"/>
              </w:rPr>
              <w:t>.</w:t>
            </w:r>
            <w:r w:rsidR="00FD11E1">
              <w:rPr>
                <w:rFonts w:asciiTheme="minorHAnsi" w:hAnsiTheme="minorHAnsi" w:cstheme="minorHAnsi"/>
                <w:b/>
                <w:bCs/>
                <w:iCs/>
                <w:sz w:val="22"/>
                <w:szCs w:val="22"/>
              </w:rPr>
              <w:t xml:space="preserve"> </w:t>
            </w:r>
          </w:p>
          <w:p w14:paraId="0DF4AD4A" w14:textId="77777777" w:rsidR="004C5210" w:rsidRDefault="004C5210" w:rsidP="00283F5D">
            <w:pPr>
              <w:pStyle w:val="BulletPoints"/>
              <w:numPr>
                <w:ilvl w:val="0"/>
                <w:numId w:val="0"/>
              </w:numPr>
              <w:spacing w:after="0"/>
              <w:rPr>
                <w:rFonts w:asciiTheme="minorHAnsi" w:hAnsiTheme="minorHAnsi" w:cstheme="minorHAnsi"/>
                <w:b/>
                <w:bCs/>
                <w:iCs/>
                <w:sz w:val="22"/>
                <w:szCs w:val="22"/>
              </w:rPr>
            </w:pPr>
          </w:p>
          <w:p w14:paraId="24D24624" w14:textId="77777777" w:rsidR="004C5210" w:rsidRDefault="004C5210" w:rsidP="00283F5D">
            <w:pPr>
              <w:pStyle w:val="BulletPoints"/>
              <w:numPr>
                <w:ilvl w:val="0"/>
                <w:numId w:val="0"/>
              </w:numPr>
              <w:spacing w:after="0"/>
              <w:rPr>
                <w:rFonts w:asciiTheme="minorHAnsi" w:hAnsiTheme="minorHAnsi" w:cstheme="minorHAnsi"/>
                <w:b/>
                <w:bCs/>
                <w:iCs/>
                <w:sz w:val="22"/>
                <w:szCs w:val="22"/>
              </w:rPr>
            </w:pPr>
          </w:p>
          <w:p w14:paraId="427DB4DC" w14:textId="77777777" w:rsidR="004C5210" w:rsidRPr="00CC57D2" w:rsidRDefault="004C5210" w:rsidP="004C5210">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Illustrated fieldwork journalling also supported slow observation, reflexive analysis, and collaborative interpretation across field visits, reviving an underused ethnographic practice within a Pacific research context.</w:t>
            </w:r>
          </w:p>
          <w:p w14:paraId="2482A196" w14:textId="6B902CB1" w:rsidR="004C5210" w:rsidRPr="00CC57D2" w:rsidRDefault="004C5210" w:rsidP="004C5210">
            <w:pPr>
              <w:pStyle w:val="BulletPoints"/>
              <w:numPr>
                <w:ilvl w:val="0"/>
                <w:numId w:val="0"/>
              </w:numPr>
              <w:spacing w:after="0"/>
              <w:rPr>
                <w:rFonts w:asciiTheme="minorHAnsi" w:hAnsiTheme="minorHAnsi" w:cstheme="minorHAnsi"/>
                <w:iCs/>
                <w:sz w:val="22"/>
                <w:szCs w:val="22"/>
              </w:rPr>
            </w:pPr>
            <w:r w:rsidRPr="00CC57D2">
              <w:rPr>
                <w:rFonts w:asciiTheme="minorHAnsi" w:hAnsiTheme="minorHAnsi" w:cstheme="minorHAnsi"/>
                <w:iCs/>
                <w:sz w:val="22"/>
                <w:szCs w:val="22"/>
              </w:rPr>
              <w:t>Together, these approaches revealed emotional, relational, and cultural dimensions of climate mobility that may not have emerged through conventional research methods alone.</w:t>
            </w:r>
          </w:p>
          <w:p w14:paraId="6EDF45E6" w14:textId="77777777" w:rsidR="007E4100" w:rsidRPr="00CC57D2" w:rsidRDefault="007E4100" w:rsidP="00283F5D">
            <w:pPr>
              <w:pStyle w:val="BulletPoints"/>
              <w:numPr>
                <w:ilvl w:val="0"/>
                <w:numId w:val="0"/>
              </w:numPr>
              <w:spacing w:after="0"/>
              <w:rPr>
                <w:rFonts w:asciiTheme="minorHAnsi" w:hAnsiTheme="minorHAnsi" w:cstheme="minorHAnsi"/>
                <w:iCs/>
                <w:sz w:val="22"/>
                <w:szCs w:val="22"/>
              </w:rPr>
            </w:pPr>
          </w:p>
          <w:p w14:paraId="37F934BE" w14:textId="0DE390F0" w:rsidR="004C5210" w:rsidRPr="004C5210" w:rsidRDefault="009B7804" w:rsidP="004C5210">
            <w:pPr>
              <w:pStyle w:val="BulletPoints"/>
              <w:numPr>
                <w:ilvl w:val="0"/>
                <w:numId w:val="0"/>
              </w:numPr>
              <w:spacing w:after="0"/>
              <w:rPr>
                <w:rFonts w:asciiTheme="minorHAnsi" w:hAnsiTheme="minorHAnsi" w:cstheme="minorHAnsi"/>
                <w:b/>
                <w:bCs/>
                <w:iCs/>
                <w:sz w:val="22"/>
                <w:szCs w:val="22"/>
              </w:rPr>
            </w:pPr>
            <w:r w:rsidRPr="009B7804">
              <w:rPr>
                <w:rFonts w:asciiTheme="minorHAnsi" w:hAnsiTheme="minorHAnsi" w:cstheme="minorHAnsi"/>
                <w:b/>
                <w:bCs/>
                <w:iCs/>
                <w:noProof/>
                <w:sz w:val="22"/>
                <w:szCs w:val="22"/>
              </w:rPr>
              <w:drawing>
                <wp:inline distT="0" distB="0" distL="0" distR="0" wp14:anchorId="451E900F" wp14:editId="40896BB0">
                  <wp:extent cx="3103245" cy="2223770"/>
                  <wp:effectExtent l="0" t="0" r="1905" b="5080"/>
                  <wp:docPr id="6121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4972" name=""/>
                          <pic:cNvPicPr/>
                        </pic:nvPicPr>
                        <pic:blipFill>
                          <a:blip r:embed="rId24"/>
                          <a:stretch>
                            <a:fillRect/>
                          </a:stretch>
                        </pic:blipFill>
                        <pic:spPr>
                          <a:xfrm>
                            <a:off x="0" y="0"/>
                            <a:ext cx="3103245" cy="2223770"/>
                          </a:xfrm>
                          <a:prstGeom prst="rect">
                            <a:avLst/>
                          </a:prstGeom>
                        </pic:spPr>
                      </pic:pic>
                    </a:graphicData>
                  </a:graphic>
                </wp:inline>
              </w:drawing>
            </w:r>
            <w:r w:rsidR="00703A00" w:rsidRPr="00CC57D2">
              <w:rPr>
                <w:rFonts w:asciiTheme="minorHAnsi" w:hAnsiTheme="minorHAnsi" w:cstheme="minorHAnsi"/>
                <w:b/>
                <w:bCs/>
                <w:iCs/>
                <w:sz w:val="22"/>
                <w:szCs w:val="22"/>
              </w:rPr>
              <w:t xml:space="preserve">Figure </w:t>
            </w:r>
            <w:r w:rsidR="004C2181">
              <w:rPr>
                <w:rFonts w:asciiTheme="minorHAnsi" w:hAnsiTheme="minorHAnsi" w:cstheme="minorHAnsi"/>
                <w:b/>
                <w:bCs/>
                <w:iCs/>
                <w:sz w:val="22"/>
                <w:szCs w:val="22"/>
              </w:rPr>
              <w:t>8</w:t>
            </w:r>
            <w:r w:rsidR="00703A00" w:rsidRPr="00CC57D2">
              <w:rPr>
                <w:rFonts w:asciiTheme="minorHAnsi" w:hAnsiTheme="minorHAnsi" w:cstheme="minorHAnsi"/>
                <w:b/>
                <w:bCs/>
                <w:iCs/>
                <w:sz w:val="22"/>
                <w:szCs w:val="22"/>
              </w:rPr>
              <w:t xml:space="preserve">. </w:t>
            </w:r>
            <w:r>
              <w:rPr>
                <w:rFonts w:asciiTheme="minorHAnsi" w:hAnsiTheme="minorHAnsi" w:cstheme="minorHAnsi"/>
                <w:b/>
                <w:bCs/>
                <w:iCs/>
                <w:sz w:val="22"/>
                <w:szCs w:val="22"/>
              </w:rPr>
              <w:t>Researcher’s fieldwork journal entry 19</w:t>
            </w:r>
            <w:r w:rsidRPr="009B7804">
              <w:rPr>
                <w:rFonts w:asciiTheme="minorHAnsi" w:hAnsiTheme="minorHAnsi" w:cstheme="minorHAnsi"/>
                <w:b/>
                <w:bCs/>
                <w:iCs/>
                <w:sz w:val="22"/>
                <w:szCs w:val="22"/>
                <w:vertAlign w:val="superscript"/>
              </w:rPr>
              <w:t>th</w:t>
            </w:r>
            <w:r>
              <w:rPr>
                <w:rFonts w:asciiTheme="minorHAnsi" w:hAnsiTheme="minorHAnsi" w:cstheme="minorHAnsi"/>
                <w:b/>
                <w:bCs/>
                <w:iCs/>
                <w:sz w:val="22"/>
                <w:szCs w:val="22"/>
              </w:rPr>
              <w:t xml:space="preserve"> September 2025, </w:t>
            </w:r>
            <w:proofErr w:type="spellStart"/>
            <w:r>
              <w:rPr>
                <w:rFonts w:asciiTheme="minorHAnsi" w:hAnsiTheme="minorHAnsi" w:cstheme="minorHAnsi"/>
                <w:b/>
                <w:bCs/>
                <w:iCs/>
                <w:sz w:val="22"/>
                <w:szCs w:val="22"/>
              </w:rPr>
              <w:t>Galoa</w:t>
            </w:r>
            <w:proofErr w:type="spellEnd"/>
            <w:r>
              <w:rPr>
                <w:rFonts w:asciiTheme="minorHAnsi" w:hAnsiTheme="minorHAnsi" w:cstheme="minorHAnsi"/>
                <w:b/>
                <w:bCs/>
                <w:iCs/>
                <w:sz w:val="22"/>
                <w:szCs w:val="22"/>
              </w:rPr>
              <w:t xml:space="preserve"> Village</w:t>
            </w:r>
          </w:p>
        </w:tc>
      </w:tr>
      <w:tr w:rsidR="007D0208" w:rsidRPr="00CC57D2" w14:paraId="0780DA7E" w14:textId="77777777" w:rsidTr="007E4100">
        <w:trPr>
          <w:gridAfter w:val="1"/>
          <w:wAfter w:w="108" w:type="dxa"/>
        </w:trPr>
        <w:tc>
          <w:tcPr>
            <w:tcW w:w="5103" w:type="dxa"/>
            <w:gridSpan w:val="2"/>
          </w:tcPr>
          <w:p w14:paraId="6432AF6D" w14:textId="77777777" w:rsidR="007D0208" w:rsidRPr="00CC57D2" w:rsidRDefault="007D0208" w:rsidP="007E4100">
            <w:pPr>
              <w:pStyle w:val="BulletPoints"/>
              <w:numPr>
                <w:ilvl w:val="0"/>
                <w:numId w:val="0"/>
              </w:numPr>
              <w:rPr>
                <w:rFonts w:asciiTheme="minorHAnsi" w:hAnsiTheme="minorHAnsi" w:cstheme="minorHAnsi"/>
                <w:b/>
                <w:color w:val="864EA8" w:themeColor="accent1" w:themeShade="BF"/>
                <w:sz w:val="22"/>
                <w:szCs w:val="22"/>
              </w:rPr>
            </w:pPr>
          </w:p>
        </w:tc>
      </w:tr>
      <w:tr w:rsidR="006344A5" w:rsidRPr="00FD11E1" w14:paraId="37F934C7" w14:textId="77777777" w:rsidTr="007E4100">
        <w:trPr>
          <w:gridAfter w:val="1"/>
          <w:wAfter w:w="108" w:type="dxa"/>
        </w:trPr>
        <w:tc>
          <w:tcPr>
            <w:tcW w:w="5103" w:type="dxa"/>
            <w:gridSpan w:val="2"/>
          </w:tcPr>
          <w:p w14:paraId="2F6EA598" w14:textId="77777777" w:rsidR="006344A5" w:rsidRPr="00FD11E1" w:rsidRDefault="006344A5" w:rsidP="007E4100">
            <w:pPr>
              <w:pStyle w:val="BulletPoints"/>
              <w:numPr>
                <w:ilvl w:val="0"/>
                <w:numId w:val="0"/>
              </w:numPr>
              <w:rPr>
                <w:rFonts w:asciiTheme="minorHAnsi" w:hAnsiTheme="minorHAnsi" w:cstheme="minorHAnsi"/>
                <w:b/>
                <w:color w:val="864EA8" w:themeColor="accent1" w:themeShade="BF"/>
                <w:sz w:val="22"/>
                <w:szCs w:val="22"/>
              </w:rPr>
            </w:pPr>
            <w:r w:rsidRPr="00FD11E1">
              <w:rPr>
                <w:rFonts w:asciiTheme="minorHAnsi" w:hAnsiTheme="minorHAnsi" w:cstheme="minorHAnsi"/>
                <w:b/>
                <w:color w:val="864EA8" w:themeColor="accent1" w:themeShade="BF"/>
                <w:sz w:val="22"/>
                <w:szCs w:val="22"/>
              </w:rPr>
              <w:t>Implications</w:t>
            </w:r>
          </w:p>
          <w:p w14:paraId="557B0DDC" w14:textId="77777777" w:rsidR="00703A00" w:rsidRPr="00FD11E1" w:rsidRDefault="00703A00" w:rsidP="004C5210">
            <w:pPr>
              <w:pStyle w:val="BulletPoints"/>
              <w:numPr>
                <w:ilvl w:val="0"/>
                <w:numId w:val="43"/>
              </w:numPr>
              <w:spacing w:after="0"/>
              <w:rPr>
                <w:rFonts w:asciiTheme="minorHAnsi" w:hAnsiTheme="minorHAnsi" w:cstheme="minorHAnsi"/>
                <w:b/>
                <w:bCs/>
                <w:iCs/>
                <w:sz w:val="22"/>
                <w:szCs w:val="22"/>
              </w:rPr>
            </w:pPr>
            <w:r w:rsidRPr="00FD11E1">
              <w:rPr>
                <w:rFonts w:asciiTheme="minorHAnsi" w:hAnsiTheme="minorHAnsi" w:cstheme="minorHAnsi"/>
                <w:b/>
                <w:bCs/>
                <w:iCs/>
                <w:sz w:val="22"/>
                <w:szCs w:val="22"/>
              </w:rPr>
              <w:t>Expand climate adaptation policy beyond planned relocation</w:t>
            </w:r>
          </w:p>
          <w:p w14:paraId="08DB9C2C" w14:textId="77777777" w:rsidR="007E4100" w:rsidRPr="00FD11E1" w:rsidRDefault="007E4100" w:rsidP="007E4100">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Fiji climate mobility policy and development partners should recognise micro-mobility, circular mobility, temporary movement, plantation homes, and second homes as legitimate forms of climate adaptation alongside planned relocation.</w:t>
            </w:r>
          </w:p>
          <w:p w14:paraId="6C030385" w14:textId="77777777" w:rsidR="007E4100" w:rsidRPr="00FD11E1" w:rsidRDefault="007E4100" w:rsidP="007E4100">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Current climate mobility frameworks focus strongly on permanent relocation, despite evidence that many communities are already adapting through smaller-scale and locally embedded mobility strategies.</w:t>
            </w:r>
          </w:p>
          <w:p w14:paraId="70A3EF37" w14:textId="77777777" w:rsidR="007E4100" w:rsidRPr="00FD11E1" w:rsidRDefault="007E4100" w:rsidP="007E4100">
            <w:pPr>
              <w:pStyle w:val="BulletPoints"/>
              <w:numPr>
                <w:ilvl w:val="0"/>
                <w:numId w:val="0"/>
              </w:numPr>
              <w:spacing w:after="0"/>
              <w:rPr>
                <w:rFonts w:asciiTheme="minorHAnsi" w:hAnsiTheme="minorHAnsi" w:cstheme="minorHAnsi"/>
                <w:iCs/>
                <w:sz w:val="22"/>
                <w:szCs w:val="22"/>
              </w:rPr>
            </w:pPr>
          </w:p>
          <w:p w14:paraId="733313AE" w14:textId="74007E85" w:rsidR="00703A00" w:rsidRPr="00FD11E1" w:rsidRDefault="007E4100" w:rsidP="004C5210">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Recognising these practices within adaptation planning would improve the visibility and support available for community-led adaptation responses.</w:t>
            </w:r>
          </w:p>
          <w:p w14:paraId="4DA8DA7E" w14:textId="77777777" w:rsidR="004C5210" w:rsidRPr="00FD11E1" w:rsidRDefault="004C5210" w:rsidP="004C5210">
            <w:pPr>
              <w:pStyle w:val="BulletPoints"/>
              <w:numPr>
                <w:ilvl w:val="0"/>
                <w:numId w:val="0"/>
              </w:numPr>
              <w:spacing w:after="0"/>
              <w:rPr>
                <w:rFonts w:asciiTheme="minorHAnsi" w:hAnsiTheme="minorHAnsi" w:cstheme="minorHAnsi"/>
                <w:iCs/>
                <w:sz w:val="22"/>
                <w:szCs w:val="22"/>
              </w:rPr>
            </w:pPr>
          </w:p>
          <w:p w14:paraId="7D0C0D9E" w14:textId="07A39450" w:rsidR="000B75F8" w:rsidRPr="00FD11E1" w:rsidRDefault="00703A00" w:rsidP="000B75F8">
            <w:pPr>
              <w:pStyle w:val="BulletPoints"/>
              <w:numPr>
                <w:ilvl w:val="0"/>
                <w:numId w:val="43"/>
              </w:numPr>
              <w:spacing w:after="0"/>
              <w:rPr>
                <w:rFonts w:asciiTheme="minorHAnsi" w:hAnsiTheme="minorHAnsi" w:cstheme="minorHAnsi"/>
                <w:b/>
                <w:bCs/>
                <w:iCs/>
                <w:sz w:val="22"/>
                <w:szCs w:val="22"/>
              </w:rPr>
            </w:pPr>
            <w:r w:rsidRPr="00FD11E1">
              <w:rPr>
                <w:rFonts w:asciiTheme="minorHAnsi" w:hAnsiTheme="minorHAnsi" w:cstheme="minorHAnsi"/>
                <w:b/>
                <w:bCs/>
                <w:iCs/>
                <w:sz w:val="22"/>
                <w:szCs w:val="22"/>
              </w:rPr>
              <w:t>Support community-led adaptation-in-place</w:t>
            </w:r>
          </w:p>
          <w:p w14:paraId="2FD49C23" w14:textId="77777777" w:rsidR="007E4100" w:rsidRPr="00FD11E1" w:rsidRDefault="007E4100" w:rsidP="007E410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MFAT, partner governments, and development organisations should continue investing in locally identified adaptation priorities that enable communities to remain safely in place where desired.</w:t>
            </w:r>
          </w:p>
          <w:p w14:paraId="077F9B64" w14:textId="77777777" w:rsidR="000B75F8" w:rsidRPr="00FD11E1" w:rsidRDefault="000B75F8" w:rsidP="007E4100">
            <w:pPr>
              <w:pStyle w:val="BulletPoints"/>
              <w:spacing w:after="0"/>
              <w:ind w:left="0"/>
              <w:rPr>
                <w:rFonts w:asciiTheme="minorHAnsi" w:hAnsiTheme="minorHAnsi" w:cstheme="minorHAnsi"/>
                <w:iCs/>
                <w:sz w:val="22"/>
                <w:szCs w:val="22"/>
              </w:rPr>
            </w:pPr>
          </w:p>
          <w:p w14:paraId="38EB44B6" w14:textId="77777777" w:rsidR="000B75F8" w:rsidRPr="00FD11E1" w:rsidRDefault="000B75F8" w:rsidP="000B75F8">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 xml:space="preserve">The findings suggest that adaptation-in-place remains a preferred and meaningful strategy for many </w:t>
            </w:r>
            <w:r w:rsidRPr="00FD11E1">
              <w:rPr>
                <w:rFonts w:asciiTheme="minorHAnsi" w:hAnsiTheme="minorHAnsi" w:cstheme="minorHAnsi"/>
                <w:iCs/>
                <w:sz w:val="22"/>
                <w:szCs w:val="22"/>
              </w:rPr>
              <w:lastRenderedPageBreak/>
              <w:t>communities and should continue to be supported alongside relocation planning.</w:t>
            </w:r>
          </w:p>
          <w:p w14:paraId="31CEBE4C" w14:textId="77777777" w:rsidR="007E4100" w:rsidRPr="00FD11E1" w:rsidRDefault="007E4100" w:rsidP="004C2181">
            <w:pPr>
              <w:pStyle w:val="BulletPoints"/>
              <w:numPr>
                <w:ilvl w:val="0"/>
                <w:numId w:val="0"/>
              </w:numPr>
              <w:spacing w:after="0"/>
              <w:rPr>
                <w:rFonts w:asciiTheme="minorHAnsi" w:hAnsiTheme="minorHAnsi" w:cstheme="minorHAnsi"/>
                <w:iCs/>
                <w:sz w:val="22"/>
                <w:szCs w:val="22"/>
              </w:rPr>
            </w:pPr>
          </w:p>
          <w:p w14:paraId="0A76C109" w14:textId="77777777" w:rsidR="007E4100" w:rsidRPr="00FD11E1" w:rsidRDefault="007E4100" w:rsidP="007E410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Research participants identified practical adaptation priorities including:</w:t>
            </w:r>
          </w:p>
          <w:p w14:paraId="08D83357" w14:textId="77777777" w:rsidR="007E4100" w:rsidRPr="00FD11E1" w:rsidRDefault="007E4100" w:rsidP="007E4100">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seawalls </w:t>
            </w:r>
          </w:p>
          <w:p w14:paraId="69364581" w14:textId="77777777" w:rsidR="007E4100" w:rsidRPr="00FD11E1" w:rsidRDefault="007E4100" w:rsidP="007E4100">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drainage systems </w:t>
            </w:r>
          </w:p>
          <w:p w14:paraId="621548D8" w14:textId="77777777" w:rsidR="007E4100" w:rsidRPr="00FD11E1" w:rsidRDefault="007E4100" w:rsidP="007E4100">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raised walkways and evacuation infrastructure </w:t>
            </w:r>
          </w:p>
          <w:p w14:paraId="65985E48" w14:textId="77777777" w:rsidR="007E4100" w:rsidRPr="00FD11E1" w:rsidRDefault="007E4100" w:rsidP="007E4100">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mangrove planting </w:t>
            </w:r>
          </w:p>
          <w:p w14:paraId="2165EBDD" w14:textId="77777777" w:rsidR="007E4100" w:rsidRPr="00FD11E1" w:rsidRDefault="007E4100" w:rsidP="007E4100">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safer communal buildings </w:t>
            </w:r>
          </w:p>
          <w:p w14:paraId="08E4635D" w14:textId="1EAEC09A" w:rsidR="007E4100" w:rsidRPr="00FD11E1" w:rsidRDefault="007E4100" w:rsidP="000B75F8">
            <w:pPr>
              <w:pStyle w:val="BulletPoints"/>
              <w:numPr>
                <w:ilvl w:val="0"/>
                <w:numId w:val="38"/>
              </w:numPr>
              <w:spacing w:after="0"/>
              <w:ind w:left="360"/>
              <w:rPr>
                <w:rFonts w:asciiTheme="minorHAnsi" w:hAnsiTheme="minorHAnsi" w:cstheme="minorHAnsi"/>
                <w:iCs/>
                <w:sz w:val="22"/>
                <w:szCs w:val="22"/>
              </w:rPr>
            </w:pPr>
            <w:r w:rsidRPr="00FD11E1">
              <w:rPr>
                <w:rFonts w:asciiTheme="minorHAnsi" w:hAnsiTheme="minorHAnsi" w:cstheme="minorHAnsi"/>
                <w:iCs/>
                <w:sz w:val="22"/>
                <w:szCs w:val="22"/>
              </w:rPr>
              <w:t xml:space="preserve">local food security strategies </w:t>
            </w:r>
          </w:p>
          <w:p w14:paraId="1FA18314" w14:textId="77777777" w:rsidR="004C5210" w:rsidRPr="00FD11E1" w:rsidRDefault="004C5210" w:rsidP="004C5210">
            <w:pPr>
              <w:pStyle w:val="BulletPoints"/>
              <w:spacing w:after="0"/>
              <w:ind w:left="0"/>
              <w:rPr>
                <w:rFonts w:asciiTheme="minorHAnsi" w:hAnsiTheme="minorHAnsi" w:cstheme="minorHAnsi"/>
                <w:iCs/>
                <w:sz w:val="22"/>
                <w:szCs w:val="22"/>
              </w:rPr>
            </w:pPr>
          </w:p>
          <w:p w14:paraId="5BF1A632" w14:textId="77777777" w:rsidR="00703A00" w:rsidRPr="00FD11E1" w:rsidRDefault="00703A00" w:rsidP="000B75F8">
            <w:pPr>
              <w:pStyle w:val="BulletPoints"/>
              <w:numPr>
                <w:ilvl w:val="0"/>
                <w:numId w:val="43"/>
              </w:numPr>
              <w:spacing w:after="0"/>
              <w:jc w:val="left"/>
              <w:rPr>
                <w:rFonts w:asciiTheme="minorHAnsi" w:hAnsiTheme="minorHAnsi" w:cstheme="minorHAnsi"/>
                <w:b/>
                <w:bCs/>
                <w:iCs/>
                <w:sz w:val="22"/>
                <w:szCs w:val="22"/>
              </w:rPr>
            </w:pPr>
            <w:r w:rsidRPr="00FD11E1">
              <w:rPr>
                <w:rFonts w:asciiTheme="minorHAnsi" w:hAnsiTheme="minorHAnsi" w:cstheme="minorHAnsi"/>
                <w:b/>
                <w:bCs/>
                <w:iCs/>
                <w:sz w:val="22"/>
                <w:szCs w:val="22"/>
              </w:rPr>
              <w:t>Embed gender-responsive adaptation planning</w:t>
            </w:r>
          </w:p>
          <w:p w14:paraId="6FB2C2D4" w14:textId="77777777" w:rsidR="004C2181" w:rsidRPr="00FD11E1" w:rsidRDefault="004C2181" w:rsidP="004C2181">
            <w:pPr>
              <w:pStyle w:val="BulletPoints"/>
              <w:numPr>
                <w:ilvl w:val="0"/>
                <w:numId w:val="0"/>
              </w:numPr>
              <w:spacing w:after="0"/>
              <w:ind w:left="360"/>
              <w:jc w:val="left"/>
              <w:rPr>
                <w:rFonts w:asciiTheme="minorHAnsi" w:hAnsiTheme="minorHAnsi" w:cstheme="minorHAnsi"/>
                <w:b/>
                <w:bCs/>
                <w:iCs/>
                <w:sz w:val="22"/>
                <w:szCs w:val="22"/>
              </w:rPr>
            </w:pPr>
          </w:p>
          <w:p w14:paraId="5864EC3B" w14:textId="77777777" w:rsidR="007E4100" w:rsidRPr="00FD11E1" w:rsidRDefault="007E4100" w:rsidP="007E410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Climate adaptation policy should recognise women’s caregiving, household labour, and community roles as critical forms of resilience work rather than treating women solely as vulnerable populations.</w:t>
            </w:r>
          </w:p>
          <w:p w14:paraId="5794D0DF" w14:textId="77777777" w:rsidR="007E4100" w:rsidRPr="00FD11E1" w:rsidRDefault="007E4100" w:rsidP="007E4100">
            <w:pPr>
              <w:pStyle w:val="BulletPoints"/>
              <w:spacing w:after="0"/>
              <w:ind w:left="0"/>
              <w:rPr>
                <w:rFonts w:asciiTheme="minorHAnsi" w:hAnsiTheme="minorHAnsi" w:cstheme="minorHAnsi"/>
                <w:iCs/>
                <w:sz w:val="22"/>
                <w:szCs w:val="22"/>
              </w:rPr>
            </w:pPr>
          </w:p>
          <w:p w14:paraId="32C78853" w14:textId="77777777" w:rsidR="007E4100" w:rsidRPr="00FD11E1" w:rsidRDefault="007E4100" w:rsidP="007E410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The findings suggest that women, particularly younger women and mothers, play central roles in sustaining adaptation, continuity, and social cohesion within village communities.</w:t>
            </w:r>
          </w:p>
          <w:p w14:paraId="2B085A88" w14:textId="77777777" w:rsidR="007E4100" w:rsidRPr="00FD11E1" w:rsidRDefault="007E4100" w:rsidP="007E4100">
            <w:pPr>
              <w:pStyle w:val="BulletPoints"/>
              <w:spacing w:after="0"/>
              <w:ind w:left="0"/>
              <w:rPr>
                <w:rFonts w:asciiTheme="minorHAnsi" w:hAnsiTheme="minorHAnsi" w:cstheme="minorHAnsi"/>
                <w:iCs/>
                <w:sz w:val="22"/>
                <w:szCs w:val="22"/>
              </w:rPr>
            </w:pPr>
          </w:p>
          <w:p w14:paraId="6D67B0E1" w14:textId="0C56A6BD" w:rsidR="00703A00" w:rsidRPr="00FD11E1" w:rsidRDefault="007E4100" w:rsidP="004C521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Adaptation planning should therefore ensure women are meaningfully included in climate mobility discussions, local decision-making, adaptation funding processes, and community planning initiatives.</w:t>
            </w:r>
          </w:p>
          <w:p w14:paraId="0CE0948D" w14:textId="77777777" w:rsidR="004C5210" w:rsidRPr="00FD11E1" w:rsidRDefault="004C5210" w:rsidP="004C5210">
            <w:pPr>
              <w:pStyle w:val="BulletPoints"/>
              <w:spacing w:after="0"/>
              <w:ind w:left="0"/>
              <w:rPr>
                <w:rFonts w:asciiTheme="minorHAnsi" w:hAnsiTheme="minorHAnsi" w:cstheme="minorHAnsi"/>
                <w:iCs/>
                <w:sz w:val="22"/>
                <w:szCs w:val="22"/>
              </w:rPr>
            </w:pPr>
          </w:p>
          <w:p w14:paraId="3DF9A1B9" w14:textId="77777777" w:rsidR="00703A00" w:rsidRPr="00FD11E1" w:rsidRDefault="00703A00" w:rsidP="004C5210">
            <w:pPr>
              <w:pStyle w:val="BulletPoints"/>
              <w:numPr>
                <w:ilvl w:val="0"/>
                <w:numId w:val="43"/>
              </w:numPr>
              <w:spacing w:after="0"/>
              <w:rPr>
                <w:rFonts w:asciiTheme="minorHAnsi" w:hAnsiTheme="minorHAnsi" w:cstheme="minorHAnsi"/>
                <w:b/>
                <w:bCs/>
                <w:iCs/>
                <w:sz w:val="22"/>
                <w:szCs w:val="22"/>
              </w:rPr>
            </w:pPr>
            <w:r w:rsidRPr="00FD11E1">
              <w:rPr>
                <w:rFonts w:asciiTheme="minorHAnsi" w:hAnsiTheme="minorHAnsi" w:cstheme="minorHAnsi"/>
                <w:b/>
                <w:bCs/>
                <w:iCs/>
                <w:sz w:val="22"/>
                <w:szCs w:val="22"/>
              </w:rPr>
              <w:t>Use culturally grounded and participatory approaches in climate adaptation planning</w:t>
            </w:r>
          </w:p>
          <w:p w14:paraId="6B17FECD" w14:textId="77777777" w:rsidR="004C5210" w:rsidRPr="00FD11E1" w:rsidRDefault="004C5210" w:rsidP="004C5210">
            <w:pPr>
              <w:pStyle w:val="BulletPoints"/>
              <w:numPr>
                <w:ilvl w:val="0"/>
                <w:numId w:val="0"/>
              </w:numPr>
              <w:spacing w:after="0"/>
              <w:rPr>
                <w:rFonts w:asciiTheme="minorHAnsi" w:hAnsiTheme="minorHAnsi" w:cstheme="minorHAnsi"/>
                <w:b/>
                <w:bCs/>
                <w:iCs/>
                <w:sz w:val="22"/>
                <w:szCs w:val="22"/>
              </w:rPr>
            </w:pPr>
          </w:p>
          <w:p w14:paraId="6AEC4F5A" w14:textId="6C86E2E3" w:rsidR="00FD11E1" w:rsidRPr="00FD11E1" w:rsidRDefault="007E4100" w:rsidP="00FD11E1">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The research demonstrated that the Fijian Vanua Research Framework (FVRF), used alongside Participatory Visual Methods, can support more relational, culturally grounded, and participant-led understandings of climate adaptation and mobility.</w:t>
            </w:r>
          </w:p>
          <w:p w14:paraId="311AC2DA" w14:textId="77777777" w:rsidR="004C2181" w:rsidRPr="00FD11E1" w:rsidRDefault="004C2181" w:rsidP="00FD11E1">
            <w:pPr>
              <w:pStyle w:val="BulletPoints"/>
              <w:numPr>
                <w:ilvl w:val="0"/>
                <w:numId w:val="0"/>
              </w:numPr>
              <w:spacing w:after="0"/>
              <w:rPr>
                <w:rFonts w:asciiTheme="minorHAnsi" w:hAnsiTheme="minorHAnsi" w:cstheme="minorHAnsi"/>
                <w:iCs/>
                <w:sz w:val="22"/>
                <w:szCs w:val="22"/>
              </w:rPr>
            </w:pPr>
          </w:p>
          <w:p w14:paraId="6020F940" w14:textId="77777777" w:rsidR="00FD11E1" w:rsidRDefault="007E4100" w:rsidP="007E4100">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Approaches such as Photovoice, mobility mapping, and creative visual activities can help governments and development organisations better understand lived experiences of environmental change, adaptation priorities, and community perspectives that may not emerge through conventional consultation processes alone.</w:t>
            </w:r>
          </w:p>
          <w:p w14:paraId="292F9AC3" w14:textId="77777777" w:rsidR="00FD11E1" w:rsidRDefault="00FD11E1" w:rsidP="00FD11E1">
            <w:pPr>
              <w:pStyle w:val="ListParagraph"/>
              <w:rPr>
                <w:rFonts w:asciiTheme="minorHAnsi" w:hAnsiTheme="minorHAnsi" w:cstheme="minorHAnsi"/>
                <w:iCs/>
                <w:szCs w:val="22"/>
              </w:rPr>
            </w:pPr>
          </w:p>
          <w:p w14:paraId="5F1E51A9" w14:textId="77777777" w:rsidR="00FD11E1" w:rsidRDefault="00FD11E1" w:rsidP="00FD11E1">
            <w:pPr>
              <w:pStyle w:val="BulletPoints"/>
              <w:numPr>
                <w:ilvl w:val="0"/>
                <w:numId w:val="0"/>
              </w:numPr>
              <w:spacing w:after="0"/>
              <w:rPr>
                <w:rFonts w:asciiTheme="minorHAnsi" w:hAnsiTheme="minorHAnsi" w:cstheme="minorHAnsi"/>
                <w:iCs/>
                <w:sz w:val="22"/>
                <w:szCs w:val="22"/>
              </w:rPr>
            </w:pPr>
          </w:p>
          <w:p w14:paraId="749C89B8" w14:textId="77777777" w:rsidR="00FD11E1" w:rsidRPr="00FD11E1" w:rsidRDefault="00FD11E1" w:rsidP="00FD11E1">
            <w:pPr>
              <w:pStyle w:val="BulletPoints"/>
              <w:spacing w:after="0"/>
              <w:ind w:left="0"/>
              <w:rPr>
                <w:rFonts w:asciiTheme="minorHAnsi" w:hAnsiTheme="minorHAnsi" w:cstheme="minorHAnsi"/>
                <w:iCs/>
                <w:sz w:val="22"/>
                <w:szCs w:val="22"/>
              </w:rPr>
            </w:pPr>
            <w:r w:rsidRPr="00FD11E1">
              <w:rPr>
                <w:rFonts w:asciiTheme="minorHAnsi" w:hAnsiTheme="minorHAnsi" w:cstheme="minorHAnsi"/>
                <w:iCs/>
                <w:sz w:val="22"/>
                <w:szCs w:val="22"/>
              </w:rPr>
              <w:t>The research also highlights the importance of reciprocity, ongoing relationships, and community return within Pacific climate research and adaptation practice.</w:t>
            </w:r>
          </w:p>
          <w:p w14:paraId="6FC85CC9" w14:textId="77777777" w:rsidR="00FD11E1" w:rsidRDefault="00FD11E1" w:rsidP="007E4100">
            <w:pPr>
              <w:pStyle w:val="BulletPoints"/>
              <w:spacing w:after="0"/>
              <w:ind w:left="0"/>
              <w:rPr>
                <w:rFonts w:asciiTheme="minorHAnsi" w:hAnsiTheme="minorHAnsi" w:cstheme="minorHAnsi"/>
                <w:iCs/>
                <w:sz w:val="22"/>
                <w:szCs w:val="22"/>
              </w:rPr>
            </w:pPr>
          </w:p>
          <w:p w14:paraId="6AB50DF9" w14:textId="5450D754" w:rsidR="00FD11E1" w:rsidRDefault="00FD11E1" w:rsidP="007E4100">
            <w:pPr>
              <w:pStyle w:val="BulletPoints"/>
              <w:spacing w:after="0"/>
              <w:ind w:left="0"/>
              <w:rPr>
                <w:rFonts w:asciiTheme="minorHAnsi" w:hAnsiTheme="minorHAnsi" w:cstheme="minorHAnsi"/>
                <w:iCs/>
                <w:sz w:val="22"/>
                <w:szCs w:val="22"/>
              </w:rPr>
            </w:pPr>
            <w:r w:rsidRPr="00962C21">
              <w:rPr>
                <w:noProof/>
              </w:rPr>
              <w:drawing>
                <wp:inline distT="0" distB="0" distL="0" distR="0" wp14:anchorId="3C619878" wp14:editId="0722FD1A">
                  <wp:extent cx="2968831" cy="1847214"/>
                  <wp:effectExtent l="0" t="0" r="3175" b="1270"/>
                  <wp:docPr id="531041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41084" name=""/>
                          <pic:cNvPicPr/>
                        </pic:nvPicPr>
                        <pic:blipFill>
                          <a:blip r:embed="rId25"/>
                          <a:stretch>
                            <a:fillRect/>
                          </a:stretch>
                        </pic:blipFill>
                        <pic:spPr>
                          <a:xfrm>
                            <a:off x="0" y="0"/>
                            <a:ext cx="2988468" cy="1859432"/>
                          </a:xfrm>
                          <a:prstGeom prst="rect">
                            <a:avLst/>
                          </a:prstGeom>
                        </pic:spPr>
                      </pic:pic>
                    </a:graphicData>
                  </a:graphic>
                </wp:inline>
              </w:drawing>
            </w:r>
          </w:p>
          <w:p w14:paraId="573AA81D" w14:textId="1D43C4A0" w:rsidR="00FD11E1" w:rsidRPr="00FD11E1" w:rsidRDefault="00FD11E1" w:rsidP="00FD11E1">
            <w:pPr>
              <w:pStyle w:val="BulletPoints"/>
              <w:numPr>
                <w:ilvl w:val="0"/>
                <w:numId w:val="0"/>
              </w:numPr>
              <w:spacing w:after="0"/>
              <w:rPr>
                <w:rFonts w:asciiTheme="minorHAnsi" w:hAnsiTheme="minorHAnsi" w:cstheme="minorHAnsi"/>
                <w:b/>
                <w:bCs/>
                <w:iCs/>
                <w:sz w:val="22"/>
                <w:szCs w:val="22"/>
              </w:rPr>
            </w:pPr>
            <w:r w:rsidRPr="00CC57D2">
              <w:rPr>
                <w:rFonts w:asciiTheme="minorHAnsi" w:hAnsiTheme="minorHAnsi" w:cstheme="minorHAnsi"/>
                <w:b/>
                <w:bCs/>
                <w:iCs/>
                <w:sz w:val="22"/>
                <w:szCs w:val="22"/>
              </w:rPr>
              <w:t xml:space="preserve">Figure </w:t>
            </w:r>
            <w:r>
              <w:rPr>
                <w:rFonts w:asciiTheme="minorHAnsi" w:hAnsiTheme="minorHAnsi" w:cstheme="minorHAnsi"/>
                <w:b/>
                <w:bCs/>
                <w:iCs/>
                <w:sz w:val="22"/>
                <w:szCs w:val="22"/>
              </w:rPr>
              <w:t>8</w:t>
            </w:r>
            <w:r w:rsidRPr="00CC57D2">
              <w:rPr>
                <w:rFonts w:asciiTheme="minorHAnsi" w:hAnsiTheme="minorHAnsi" w:cstheme="minorHAnsi"/>
                <w:b/>
                <w:bCs/>
                <w:iCs/>
                <w:sz w:val="22"/>
                <w:szCs w:val="22"/>
              </w:rPr>
              <w:t xml:space="preserve">. </w:t>
            </w:r>
            <w:r>
              <w:rPr>
                <w:rFonts w:asciiTheme="minorHAnsi" w:hAnsiTheme="minorHAnsi" w:cstheme="minorHAnsi"/>
                <w:b/>
                <w:bCs/>
                <w:iCs/>
                <w:sz w:val="22"/>
                <w:szCs w:val="22"/>
              </w:rPr>
              <w:t xml:space="preserve">Eseta from the Fijian research team guides us through the </w:t>
            </w:r>
            <w:proofErr w:type="spellStart"/>
            <w:r>
              <w:rPr>
                <w:rFonts w:asciiTheme="minorHAnsi" w:hAnsiTheme="minorHAnsi" w:cstheme="minorHAnsi"/>
                <w:b/>
                <w:bCs/>
                <w:iCs/>
                <w:sz w:val="22"/>
                <w:szCs w:val="22"/>
              </w:rPr>
              <w:t>Sevu</w:t>
            </w:r>
            <w:proofErr w:type="spellEnd"/>
            <w:r>
              <w:rPr>
                <w:rFonts w:asciiTheme="minorHAnsi" w:hAnsiTheme="minorHAnsi" w:cstheme="minorHAnsi"/>
                <w:b/>
                <w:bCs/>
                <w:iCs/>
                <w:sz w:val="22"/>
                <w:szCs w:val="22"/>
              </w:rPr>
              <w:t xml:space="preserve"> </w:t>
            </w:r>
            <w:proofErr w:type="spellStart"/>
            <w:r>
              <w:rPr>
                <w:rFonts w:asciiTheme="minorHAnsi" w:hAnsiTheme="minorHAnsi" w:cstheme="minorHAnsi"/>
                <w:b/>
                <w:bCs/>
                <w:iCs/>
                <w:sz w:val="22"/>
                <w:szCs w:val="22"/>
              </w:rPr>
              <w:t>Sevu</w:t>
            </w:r>
            <w:proofErr w:type="spellEnd"/>
            <w:r>
              <w:rPr>
                <w:rFonts w:asciiTheme="minorHAnsi" w:hAnsiTheme="minorHAnsi" w:cstheme="minorHAnsi"/>
                <w:b/>
                <w:bCs/>
                <w:iCs/>
                <w:sz w:val="22"/>
                <w:szCs w:val="22"/>
              </w:rPr>
              <w:t xml:space="preserve"> ceremony in </w:t>
            </w:r>
            <w:proofErr w:type="spellStart"/>
            <w:r>
              <w:rPr>
                <w:rFonts w:asciiTheme="minorHAnsi" w:hAnsiTheme="minorHAnsi" w:cstheme="minorHAnsi"/>
                <w:b/>
                <w:bCs/>
                <w:iCs/>
                <w:sz w:val="22"/>
                <w:szCs w:val="22"/>
              </w:rPr>
              <w:t>Yadua</w:t>
            </w:r>
            <w:proofErr w:type="spellEnd"/>
            <w:r>
              <w:rPr>
                <w:rFonts w:asciiTheme="minorHAnsi" w:hAnsiTheme="minorHAnsi" w:cstheme="minorHAnsi"/>
                <w:b/>
                <w:bCs/>
                <w:iCs/>
                <w:sz w:val="22"/>
                <w:szCs w:val="22"/>
              </w:rPr>
              <w:t xml:space="preserve">, an important step in the Fijian Vanua Research Framework. </w:t>
            </w:r>
          </w:p>
          <w:p w14:paraId="37F934C6" w14:textId="77777777" w:rsidR="006344A5" w:rsidRPr="00FD11E1" w:rsidRDefault="006344A5" w:rsidP="00FD11E1">
            <w:pPr>
              <w:pStyle w:val="BulletPoints"/>
              <w:numPr>
                <w:ilvl w:val="0"/>
                <w:numId w:val="0"/>
              </w:numPr>
              <w:spacing w:after="0"/>
              <w:rPr>
                <w:rFonts w:asciiTheme="minorHAnsi" w:hAnsiTheme="minorHAnsi" w:cstheme="minorHAnsi"/>
                <w:sz w:val="22"/>
                <w:szCs w:val="22"/>
              </w:rPr>
            </w:pPr>
          </w:p>
        </w:tc>
      </w:tr>
      <w:tr w:rsidR="006344A5" w14:paraId="37F934D1" w14:textId="77777777" w:rsidTr="00E66821">
        <w:trPr>
          <w:gridBefore w:val="1"/>
          <w:wBefore w:w="108" w:type="dxa"/>
        </w:trPr>
        <w:tc>
          <w:tcPr>
            <w:tcW w:w="5103" w:type="dxa"/>
            <w:gridSpan w:val="2"/>
          </w:tcPr>
          <w:p w14:paraId="4F5C5715" w14:textId="77777777" w:rsidR="006344A5" w:rsidRPr="00FD11E1" w:rsidRDefault="006344A5" w:rsidP="00CF05B4">
            <w:pPr>
              <w:pStyle w:val="BulletPoints"/>
              <w:numPr>
                <w:ilvl w:val="0"/>
                <w:numId w:val="0"/>
              </w:numPr>
              <w:jc w:val="left"/>
              <w:rPr>
                <w:rFonts w:asciiTheme="minorHAnsi" w:hAnsiTheme="minorHAnsi" w:cstheme="minorHAnsi"/>
                <w:b/>
                <w:color w:val="864EA8" w:themeColor="accent1" w:themeShade="BF"/>
                <w:sz w:val="22"/>
                <w:szCs w:val="22"/>
              </w:rPr>
            </w:pPr>
            <w:r w:rsidRPr="00FD11E1">
              <w:rPr>
                <w:rFonts w:asciiTheme="minorHAnsi" w:hAnsiTheme="minorHAnsi" w:cstheme="minorHAnsi"/>
                <w:b/>
                <w:color w:val="864EA8" w:themeColor="accent1" w:themeShade="BF"/>
                <w:sz w:val="22"/>
                <w:szCs w:val="22"/>
              </w:rPr>
              <w:t>Limitations and further research</w:t>
            </w:r>
          </w:p>
          <w:p w14:paraId="57CA54E7"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This research focused on two case study villages, </w:t>
            </w:r>
            <w:proofErr w:type="spellStart"/>
            <w:r w:rsidRPr="00FD11E1">
              <w:rPr>
                <w:rFonts w:asciiTheme="minorHAnsi" w:hAnsiTheme="minorHAnsi" w:cstheme="minorHAnsi"/>
                <w:iCs/>
                <w:sz w:val="22"/>
                <w:szCs w:val="22"/>
              </w:rPr>
              <w:t>Galoa</w:t>
            </w:r>
            <w:proofErr w:type="spellEnd"/>
            <w:r w:rsidRPr="00FD11E1">
              <w:rPr>
                <w:rFonts w:asciiTheme="minorHAnsi" w:hAnsiTheme="minorHAnsi" w:cstheme="minorHAnsi"/>
                <w:iCs/>
                <w:sz w:val="22"/>
                <w:szCs w:val="22"/>
              </w:rPr>
              <w:t xml:space="preserve"> and </w:t>
            </w:r>
            <w:proofErr w:type="spellStart"/>
            <w:r w:rsidRPr="00FD11E1">
              <w:rPr>
                <w:rFonts w:asciiTheme="minorHAnsi" w:hAnsiTheme="minorHAnsi" w:cstheme="minorHAnsi"/>
                <w:iCs/>
                <w:sz w:val="22"/>
                <w:szCs w:val="22"/>
              </w:rPr>
              <w:t>Yadua</w:t>
            </w:r>
            <w:proofErr w:type="spellEnd"/>
            <w:r w:rsidRPr="00FD11E1">
              <w:rPr>
                <w:rFonts w:asciiTheme="minorHAnsi" w:hAnsiTheme="minorHAnsi" w:cstheme="minorHAnsi"/>
                <w:iCs/>
                <w:sz w:val="22"/>
                <w:szCs w:val="22"/>
              </w:rPr>
              <w:t>, and findings may not reflect climate mobility experiences across all Fijian or Pacific communities.</w:t>
            </w:r>
          </w:p>
          <w:p w14:paraId="2D9AC7D1"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p>
          <w:p w14:paraId="08281397"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The research was qualitative and participatory, prioritising lived experience and relational understanding rather than statistical generalisation.</w:t>
            </w:r>
          </w:p>
          <w:p w14:paraId="158A690F"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p>
          <w:p w14:paraId="04842A07"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Climate mobility pathways are also changing over time in response to environmental change, development pressures, livelihoods, and intergenerational change. Longer-term research would help examine how these adaptation pathways evolve.</w:t>
            </w:r>
          </w:p>
          <w:p w14:paraId="189EC68E"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p>
          <w:p w14:paraId="5D4CFB6C" w14:textId="77777777" w:rsidR="00A0273B" w:rsidRPr="00FD11E1" w:rsidRDefault="00A0273B" w:rsidP="00A0273B">
            <w:pPr>
              <w:pStyle w:val="BulletPoints"/>
              <w:numPr>
                <w:ilvl w:val="0"/>
                <w:numId w:val="0"/>
              </w:numPr>
              <w:spacing w:after="0"/>
              <w:rPr>
                <w:rFonts w:asciiTheme="minorHAnsi" w:hAnsiTheme="minorHAnsi" w:cstheme="minorHAnsi"/>
                <w:iCs/>
                <w:sz w:val="22"/>
                <w:szCs w:val="22"/>
              </w:rPr>
            </w:pPr>
            <w:r w:rsidRPr="00FD11E1">
              <w:rPr>
                <w:rFonts w:asciiTheme="minorHAnsi" w:hAnsiTheme="minorHAnsi" w:cstheme="minorHAnsi"/>
                <w:iCs/>
                <w:sz w:val="22"/>
                <w:szCs w:val="22"/>
              </w:rPr>
              <w:t>Further research is needed on:</w:t>
            </w:r>
          </w:p>
          <w:p w14:paraId="6D5656DE" w14:textId="77777777" w:rsidR="00A0273B" w:rsidRPr="00FD11E1" w:rsidRDefault="00A0273B" w:rsidP="00A0273B">
            <w:pPr>
              <w:pStyle w:val="BulletPoints"/>
              <w:numPr>
                <w:ilvl w:val="0"/>
                <w:numId w:val="41"/>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climate micro-mobility in other Pacific contexts </w:t>
            </w:r>
          </w:p>
          <w:p w14:paraId="244F6D6C" w14:textId="77777777" w:rsidR="00A0273B" w:rsidRPr="00FD11E1" w:rsidRDefault="00A0273B" w:rsidP="00A0273B">
            <w:pPr>
              <w:pStyle w:val="BulletPoints"/>
              <w:numPr>
                <w:ilvl w:val="0"/>
                <w:numId w:val="41"/>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the interaction between climate and development pressures </w:t>
            </w:r>
          </w:p>
          <w:p w14:paraId="16259BEF" w14:textId="77777777" w:rsidR="00A0273B" w:rsidRPr="00FD11E1" w:rsidRDefault="00A0273B" w:rsidP="00A0273B">
            <w:pPr>
              <w:pStyle w:val="BulletPoints"/>
              <w:numPr>
                <w:ilvl w:val="0"/>
                <w:numId w:val="41"/>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gendered and intergenerational mobility experiences </w:t>
            </w:r>
          </w:p>
          <w:p w14:paraId="3BDBCF2E" w14:textId="77777777" w:rsidR="00A0273B" w:rsidRPr="00FD11E1" w:rsidRDefault="00A0273B" w:rsidP="00A0273B">
            <w:pPr>
              <w:pStyle w:val="BulletPoints"/>
              <w:numPr>
                <w:ilvl w:val="0"/>
                <w:numId w:val="41"/>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long-term adaptation-in-place outcomes </w:t>
            </w:r>
          </w:p>
          <w:p w14:paraId="7AA7E9C1" w14:textId="77777777" w:rsidR="00A0273B" w:rsidRPr="00FD11E1" w:rsidRDefault="00A0273B" w:rsidP="00A0273B">
            <w:pPr>
              <w:pStyle w:val="BulletPoints"/>
              <w:numPr>
                <w:ilvl w:val="0"/>
                <w:numId w:val="41"/>
              </w:numPr>
              <w:spacing w:after="0"/>
              <w:rPr>
                <w:rFonts w:asciiTheme="minorHAnsi" w:hAnsiTheme="minorHAnsi" w:cstheme="minorHAnsi"/>
                <w:iCs/>
                <w:sz w:val="22"/>
                <w:szCs w:val="22"/>
              </w:rPr>
            </w:pPr>
            <w:r w:rsidRPr="00FD11E1">
              <w:rPr>
                <w:rFonts w:asciiTheme="minorHAnsi" w:hAnsiTheme="minorHAnsi" w:cstheme="minorHAnsi"/>
                <w:iCs/>
                <w:sz w:val="22"/>
                <w:szCs w:val="22"/>
              </w:rPr>
              <w:t xml:space="preserve">the use of Pacific research methodologies and Participatory Visual Methods in climate adaptation planning </w:t>
            </w:r>
          </w:p>
          <w:p w14:paraId="77B53D21" w14:textId="77777777" w:rsidR="00A0273B" w:rsidRPr="00FD11E1" w:rsidRDefault="00A0273B" w:rsidP="00A0273B">
            <w:pPr>
              <w:pStyle w:val="BulletPoints"/>
              <w:numPr>
                <w:ilvl w:val="0"/>
                <w:numId w:val="0"/>
              </w:numPr>
              <w:spacing w:after="0"/>
              <w:ind w:left="720"/>
              <w:rPr>
                <w:rFonts w:asciiTheme="minorHAnsi" w:hAnsiTheme="minorHAnsi" w:cstheme="minorHAnsi"/>
                <w:iCs/>
                <w:sz w:val="22"/>
                <w:szCs w:val="22"/>
              </w:rPr>
            </w:pPr>
          </w:p>
          <w:p w14:paraId="37F934D0" w14:textId="3D4CA026" w:rsidR="006344A5" w:rsidRPr="00FD11E1" w:rsidRDefault="00A0273B" w:rsidP="004C2181">
            <w:pPr>
              <w:pStyle w:val="BulletPoints"/>
              <w:numPr>
                <w:ilvl w:val="0"/>
                <w:numId w:val="0"/>
              </w:numPr>
              <w:spacing w:after="0"/>
              <w:rPr>
                <w:rFonts w:asciiTheme="minorHAnsi" w:hAnsiTheme="minorHAnsi" w:cstheme="minorHAnsi"/>
                <w:sz w:val="22"/>
                <w:szCs w:val="22"/>
              </w:rPr>
            </w:pPr>
            <w:r w:rsidRPr="00FD11E1">
              <w:rPr>
                <w:rFonts w:asciiTheme="minorHAnsi" w:hAnsiTheme="minorHAnsi" w:cstheme="minorHAnsi"/>
                <w:iCs/>
                <w:sz w:val="22"/>
                <w:szCs w:val="22"/>
              </w:rPr>
              <w:t>These limitations reinforce the importance of ongoing, locally grounded, and participatory climate mobility research in the Pacific.</w:t>
            </w:r>
          </w:p>
        </w:tc>
      </w:tr>
      <w:tr w:rsidR="007E4100" w14:paraId="38F47E90" w14:textId="77777777" w:rsidTr="00E66821">
        <w:trPr>
          <w:gridBefore w:val="1"/>
          <w:wBefore w:w="108" w:type="dxa"/>
        </w:trPr>
        <w:tc>
          <w:tcPr>
            <w:tcW w:w="5103" w:type="dxa"/>
            <w:gridSpan w:val="2"/>
          </w:tcPr>
          <w:p w14:paraId="2E02B55D" w14:textId="77777777" w:rsidR="007E4100" w:rsidRPr="00A62056" w:rsidRDefault="007E4100" w:rsidP="00CF05B4">
            <w:pPr>
              <w:pStyle w:val="BulletPoints"/>
              <w:numPr>
                <w:ilvl w:val="0"/>
                <w:numId w:val="0"/>
              </w:numPr>
              <w:jc w:val="left"/>
              <w:rPr>
                <w:rFonts w:asciiTheme="minorHAnsi" w:hAnsiTheme="minorHAnsi" w:cstheme="minorHAnsi"/>
                <w:b/>
                <w:color w:val="864EA8" w:themeColor="accent1" w:themeShade="BF"/>
              </w:rPr>
            </w:pPr>
          </w:p>
        </w:tc>
      </w:tr>
    </w:tbl>
    <w:p w14:paraId="1A4622B7" w14:textId="77777777" w:rsidR="00831C12" w:rsidRDefault="00831C12" w:rsidP="00831C12">
      <w:pPr>
        <w:pStyle w:val="BulletPoints"/>
        <w:numPr>
          <w:ilvl w:val="0"/>
          <w:numId w:val="0"/>
        </w:numPr>
        <w:ind w:right="1134"/>
        <w:jc w:val="left"/>
        <w:rPr>
          <w:b/>
        </w:rPr>
        <w:sectPr w:rsidR="00831C12" w:rsidSect="0024202D">
          <w:footerReference w:type="default" r:id="rId26"/>
          <w:type w:val="continuous"/>
          <w:pgSz w:w="11907" w:h="16840" w:code="9"/>
          <w:pgMar w:top="1440" w:right="851" w:bottom="851" w:left="851" w:header="135" w:footer="0" w:gutter="0"/>
          <w:pgNumType w:start="1"/>
          <w:cols w:num="2" w:space="720"/>
          <w:formProt w:val="0"/>
          <w:titlePg/>
          <w:docGrid w:linePitch="299"/>
        </w:sectPr>
      </w:pPr>
    </w:p>
    <w:p w14:paraId="05F5F5F1" w14:textId="77777777" w:rsidR="00FD11E1" w:rsidRDefault="00FD11E1" w:rsidP="00831C12">
      <w:pPr>
        <w:pStyle w:val="BulletPoints"/>
        <w:numPr>
          <w:ilvl w:val="0"/>
          <w:numId w:val="0"/>
        </w:numPr>
        <w:ind w:right="1134"/>
        <w:jc w:val="left"/>
        <w:rPr>
          <w:rFonts w:asciiTheme="minorHAnsi" w:hAnsiTheme="minorHAnsi" w:cstheme="minorHAnsi"/>
          <w:b/>
          <w:color w:val="864EA8" w:themeColor="accent1" w:themeShade="BF"/>
        </w:rPr>
        <w:sectPr w:rsidR="00FD11E1" w:rsidSect="00AA704D">
          <w:headerReference w:type="default" r:id="rId27"/>
          <w:type w:val="continuous"/>
          <w:pgSz w:w="11907" w:h="16840" w:code="9"/>
          <w:pgMar w:top="1440" w:right="851" w:bottom="1440" w:left="851" w:header="0" w:footer="0" w:gutter="0"/>
          <w:pgNumType w:start="1"/>
          <w:cols w:space="720"/>
          <w:formProt w:val="0"/>
          <w:docGrid w:linePitch="299"/>
        </w:sectPr>
      </w:pPr>
    </w:p>
    <w:tbl>
      <w:tblPr>
        <w:tblW w:w="9468" w:type="dxa"/>
        <w:tblLayout w:type="fixed"/>
        <w:tblLook w:val="0000" w:firstRow="0" w:lastRow="0" w:firstColumn="0" w:lastColumn="0" w:noHBand="0" w:noVBand="0"/>
      </w:tblPr>
      <w:tblGrid>
        <w:gridCol w:w="9468"/>
      </w:tblGrid>
      <w:tr w:rsidR="006344A5" w14:paraId="215C8F5C" w14:textId="77777777" w:rsidTr="00F3682C">
        <w:trPr>
          <w:trHeight w:val="1137"/>
        </w:trPr>
        <w:tc>
          <w:tcPr>
            <w:tcW w:w="9468" w:type="dxa"/>
          </w:tcPr>
          <w:p w14:paraId="09217EB1" w14:textId="77777777" w:rsidR="004C2181" w:rsidRDefault="004C2181" w:rsidP="00831C12">
            <w:pPr>
              <w:pStyle w:val="BulletPoints"/>
              <w:numPr>
                <w:ilvl w:val="0"/>
                <w:numId w:val="0"/>
              </w:numPr>
              <w:ind w:right="1134"/>
              <w:jc w:val="left"/>
              <w:rPr>
                <w:rFonts w:asciiTheme="minorHAnsi" w:hAnsiTheme="minorHAnsi" w:cstheme="minorHAnsi"/>
                <w:b/>
                <w:color w:val="864EA8" w:themeColor="accent1" w:themeShade="BF"/>
              </w:rPr>
            </w:pPr>
          </w:p>
          <w:p w14:paraId="1E0F1FC4" w14:textId="233025A9" w:rsidR="006344A5" w:rsidRPr="00A62056" w:rsidRDefault="006344A5" w:rsidP="00831C12">
            <w:pPr>
              <w:pStyle w:val="BulletPoints"/>
              <w:numPr>
                <w:ilvl w:val="0"/>
                <w:numId w:val="0"/>
              </w:numPr>
              <w:ind w:right="1134"/>
              <w:jc w:val="left"/>
              <w:rPr>
                <w:rFonts w:asciiTheme="minorHAnsi" w:hAnsiTheme="minorHAnsi" w:cstheme="minorHAnsi"/>
                <w:b/>
                <w:color w:val="864EA8" w:themeColor="accent1" w:themeShade="BF"/>
              </w:rPr>
            </w:pPr>
            <w:r w:rsidRPr="00A62056">
              <w:rPr>
                <w:rFonts w:asciiTheme="minorHAnsi" w:hAnsiTheme="minorHAnsi" w:cstheme="minorHAnsi"/>
                <w:b/>
                <w:color w:val="864EA8" w:themeColor="accent1" w:themeShade="BF"/>
              </w:rPr>
              <w:t>References</w:t>
            </w:r>
          </w:p>
          <w:p w14:paraId="7B2DF72E" w14:textId="77777777"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Farrelly, T., &amp; </w:t>
            </w:r>
            <w:proofErr w:type="spellStart"/>
            <w:r w:rsidRPr="00E809E6">
              <w:rPr>
                <w:rFonts w:asciiTheme="minorHAnsi" w:hAnsiTheme="minorHAnsi" w:cstheme="minorHAnsi"/>
                <w:bCs/>
                <w:sz w:val="22"/>
                <w:szCs w:val="22"/>
              </w:rPr>
              <w:t>Nabobo</w:t>
            </w:r>
            <w:proofErr w:type="spellEnd"/>
            <w:r w:rsidRPr="00E809E6">
              <w:rPr>
                <w:rFonts w:asciiTheme="minorHAnsi" w:hAnsiTheme="minorHAnsi" w:cstheme="minorHAnsi"/>
                <w:bCs/>
                <w:sz w:val="22"/>
                <w:szCs w:val="22"/>
              </w:rPr>
              <w:t xml:space="preserve">-Baba, U. (2014). Talanoa as empathic apprenticeship. </w:t>
            </w:r>
            <w:r w:rsidRPr="00E809E6">
              <w:rPr>
                <w:rFonts w:asciiTheme="minorHAnsi" w:hAnsiTheme="minorHAnsi" w:cstheme="minorHAnsi"/>
                <w:bCs/>
                <w:i/>
                <w:iCs/>
                <w:sz w:val="22"/>
                <w:szCs w:val="22"/>
              </w:rPr>
              <w:t>Asia Pacific Viewpoint, 55</w:t>
            </w:r>
            <w:r w:rsidRPr="00E809E6">
              <w:rPr>
                <w:rFonts w:asciiTheme="minorHAnsi" w:hAnsiTheme="minorHAnsi" w:cstheme="minorHAnsi"/>
                <w:bCs/>
                <w:sz w:val="22"/>
                <w:szCs w:val="22"/>
              </w:rPr>
              <w:t xml:space="preserve">(3), 319–330. </w:t>
            </w:r>
            <w:hyperlink r:id="rId28" w:tgtFrame="_new" w:history="1">
              <w:r w:rsidRPr="00E809E6">
                <w:rPr>
                  <w:rStyle w:val="Hyperlink"/>
                  <w:rFonts w:asciiTheme="minorHAnsi" w:hAnsiTheme="minorHAnsi" w:cstheme="minorHAnsi"/>
                  <w:bCs/>
                  <w:szCs w:val="22"/>
                </w:rPr>
                <w:t>https://doi.org/10.1111/apv.12060</w:t>
              </w:r>
            </w:hyperlink>
          </w:p>
          <w:p w14:paraId="76DE33B0"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5468E91E" w14:textId="00C65A0E"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Government of Fiji. (2018). </w:t>
            </w:r>
            <w:r w:rsidRPr="00E809E6">
              <w:rPr>
                <w:rFonts w:asciiTheme="minorHAnsi" w:hAnsiTheme="minorHAnsi" w:cstheme="minorHAnsi"/>
                <w:bCs/>
                <w:i/>
                <w:iCs/>
                <w:sz w:val="22"/>
                <w:szCs w:val="22"/>
              </w:rPr>
              <w:t>Planned Relocation Guidelines: A framework to undertake climate change-related relocation</w:t>
            </w:r>
            <w:r w:rsidRPr="00E809E6">
              <w:rPr>
                <w:rFonts w:asciiTheme="minorHAnsi" w:hAnsiTheme="minorHAnsi" w:cstheme="minorHAnsi"/>
                <w:bCs/>
                <w:sz w:val="22"/>
                <w:szCs w:val="22"/>
              </w:rPr>
              <w:t>. Ministry of Economy.</w:t>
            </w:r>
          </w:p>
          <w:p w14:paraId="30D87E08"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57C3FC50" w14:textId="77777777" w:rsidR="00E809E6" w:rsidRDefault="00E809E6" w:rsidP="00E809E6">
            <w:pPr>
              <w:pStyle w:val="BulletPoints"/>
              <w:numPr>
                <w:ilvl w:val="0"/>
                <w:numId w:val="0"/>
              </w:numPr>
              <w:spacing w:after="0"/>
              <w:rPr>
                <w:rFonts w:asciiTheme="minorHAnsi" w:hAnsiTheme="minorHAnsi" w:cstheme="minorHAnsi"/>
                <w:bCs/>
                <w:sz w:val="22"/>
                <w:szCs w:val="22"/>
              </w:rPr>
            </w:pPr>
            <w:proofErr w:type="spellStart"/>
            <w:r w:rsidRPr="00E809E6">
              <w:rPr>
                <w:rFonts w:asciiTheme="minorHAnsi" w:hAnsiTheme="minorHAnsi" w:cstheme="minorHAnsi"/>
                <w:bCs/>
                <w:sz w:val="22"/>
                <w:szCs w:val="22"/>
              </w:rPr>
              <w:t>Kuschnir</w:t>
            </w:r>
            <w:proofErr w:type="spellEnd"/>
            <w:r w:rsidRPr="00E809E6">
              <w:rPr>
                <w:rFonts w:asciiTheme="minorHAnsi" w:hAnsiTheme="minorHAnsi" w:cstheme="minorHAnsi"/>
                <w:bCs/>
                <w:sz w:val="22"/>
                <w:szCs w:val="22"/>
              </w:rPr>
              <w:t xml:space="preserve">, K. (2020). Ethnographic drawings and the benefits of using a sketchbook for fieldwork. In </w:t>
            </w:r>
            <w:r w:rsidRPr="00E809E6">
              <w:rPr>
                <w:rFonts w:asciiTheme="minorHAnsi" w:hAnsiTheme="minorHAnsi" w:cstheme="minorHAnsi"/>
                <w:bCs/>
                <w:i/>
                <w:iCs/>
                <w:sz w:val="22"/>
                <w:szCs w:val="22"/>
              </w:rPr>
              <w:t>Ecologies Design</w:t>
            </w:r>
            <w:r w:rsidRPr="00E809E6">
              <w:rPr>
                <w:rFonts w:asciiTheme="minorHAnsi" w:hAnsiTheme="minorHAnsi" w:cstheme="minorHAnsi"/>
                <w:bCs/>
                <w:sz w:val="22"/>
                <w:szCs w:val="22"/>
              </w:rPr>
              <w:t xml:space="preserve"> (pp. 149–157). Routledge. </w:t>
            </w:r>
            <w:hyperlink r:id="rId29" w:tgtFrame="_new" w:history="1">
              <w:r w:rsidRPr="00E809E6">
                <w:rPr>
                  <w:rStyle w:val="Hyperlink"/>
                  <w:rFonts w:asciiTheme="minorHAnsi" w:hAnsiTheme="minorHAnsi" w:cstheme="minorHAnsi"/>
                  <w:bCs/>
                  <w:szCs w:val="22"/>
                </w:rPr>
                <w:t>https://doi.org/10.4324/9780429279904-19</w:t>
              </w:r>
            </w:hyperlink>
          </w:p>
          <w:p w14:paraId="3388D807"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14B36FCB" w14:textId="054B39A4"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McMichael, C., &amp; </w:t>
            </w:r>
            <w:proofErr w:type="spellStart"/>
            <w:r w:rsidRPr="00E809E6">
              <w:rPr>
                <w:rFonts w:asciiTheme="minorHAnsi" w:hAnsiTheme="minorHAnsi" w:cstheme="minorHAnsi"/>
                <w:bCs/>
                <w:sz w:val="22"/>
                <w:szCs w:val="22"/>
              </w:rPr>
              <w:t>Katonivualiku</w:t>
            </w:r>
            <w:proofErr w:type="spellEnd"/>
            <w:r w:rsidRPr="00E809E6">
              <w:rPr>
                <w:rFonts w:asciiTheme="minorHAnsi" w:hAnsiTheme="minorHAnsi" w:cstheme="minorHAnsi"/>
                <w:bCs/>
                <w:sz w:val="22"/>
                <w:szCs w:val="22"/>
              </w:rPr>
              <w:t xml:space="preserve">, M. (2020). Thick temporalities of planned relocation in Fiji. </w:t>
            </w:r>
            <w:proofErr w:type="spellStart"/>
            <w:r w:rsidRPr="00E809E6">
              <w:rPr>
                <w:rFonts w:asciiTheme="minorHAnsi" w:hAnsiTheme="minorHAnsi" w:cstheme="minorHAnsi"/>
                <w:bCs/>
                <w:i/>
                <w:iCs/>
                <w:sz w:val="22"/>
                <w:szCs w:val="22"/>
              </w:rPr>
              <w:t>Geoforum</w:t>
            </w:r>
            <w:proofErr w:type="spellEnd"/>
            <w:r w:rsidRPr="00E809E6">
              <w:rPr>
                <w:rFonts w:asciiTheme="minorHAnsi" w:hAnsiTheme="minorHAnsi" w:cstheme="minorHAnsi"/>
                <w:bCs/>
                <w:i/>
                <w:iCs/>
                <w:sz w:val="22"/>
                <w:szCs w:val="22"/>
              </w:rPr>
              <w:t>, 108</w:t>
            </w:r>
            <w:r w:rsidRPr="00E809E6">
              <w:rPr>
                <w:rFonts w:asciiTheme="minorHAnsi" w:hAnsiTheme="minorHAnsi" w:cstheme="minorHAnsi"/>
                <w:bCs/>
                <w:sz w:val="22"/>
                <w:szCs w:val="22"/>
              </w:rPr>
              <w:t xml:space="preserve">, 286–294. </w:t>
            </w:r>
            <w:hyperlink r:id="rId30" w:history="1">
              <w:r w:rsidRPr="004C3303">
                <w:rPr>
                  <w:rStyle w:val="Hyperlink"/>
                  <w:rFonts w:asciiTheme="minorHAnsi" w:hAnsiTheme="minorHAnsi" w:cstheme="minorHAnsi"/>
                  <w:bCs/>
                  <w:szCs w:val="22"/>
                </w:rPr>
                <w:t>https://doi.org/10.1016/j.geoforum.2019.06.012</w:t>
              </w:r>
            </w:hyperlink>
          </w:p>
          <w:p w14:paraId="20BBBE94"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6B59E470" w14:textId="77777777"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McNamara, K. E., &amp; Des Combes, H. J. (2015). Planning for community relocations due to climate change in Fiji. </w:t>
            </w:r>
            <w:r w:rsidRPr="00E809E6">
              <w:rPr>
                <w:rFonts w:asciiTheme="minorHAnsi" w:hAnsiTheme="minorHAnsi" w:cstheme="minorHAnsi"/>
                <w:bCs/>
                <w:i/>
                <w:iCs/>
                <w:sz w:val="22"/>
                <w:szCs w:val="22"/>
              </w:rPr>
              <w:t>International Journal of Disaster Risk Science, 6</w:t>
            </w:r>
            <w:r w:rsidRPr="00E809E6">
              <w:rPr>
                <w:rFonts w:asciiTheme="minorHAnsi" w:hAnsiTheme="minorHAnsi" w:cstheme="minorHAnsi"/>
                <w:bCs/>
                <w:sz w:val="22"/>
                <w:szCs w:val="22"/>
              </w:rPr>
              <w:t xml:space="preserve">(3), 315–319. </w:t>
            </w:r>
            <w:hyperlink r:id="rId31" w:tgtFrame="_new" w:history="1">
              <w:r w:rsidRPr="00E809E6">
                <w:rPr>
                  <w:rStyle w:val="Hyperlink"/>
                  <w:rFonts w:asciiTheme="minorHAnsi" w:hAnsiTheme="minorHAnsi" w:cstheme="minorHAnsi"/>
                  <w:bCs/>
                  <w:szCs w:val="22"/>
                </w:rPr>
                <w:t>https://doi.org/10.1007/s13753-015-0065-2</w:t>
              </w:r>
            </w:hyperlink>
          </w:p>
          <w:p w14:paraId="35A4FDE3"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729D84FC" w14:textId="3D66B46E" w:rsidR="00E809E6" w:rsidRDefault="00E809E6" w:rsidP="00E809E6">
            <w:pPr>
              <w:pStyle w:val="BulletPoints"/>
              <w:numPr>
                <w:ilvl w:val="0"/>
                <w:numId w:val="0"/>
              </w:numPr>
              <w:spacing w:after="0"/>
              <w:rPr>
                <w:rFonts w:asciiTheme="minorHAnsi" w:hAnsiTheme="minorHAnsi" w:cstheme="minorHAnsi"/>
                <w:bCs/>
                <w:sz w:val="22"/>
                <w:szCs w:val="22"/>
              </w:rPr>
            </w:pPr>
            <w:proofErr w:type="spellStart"/>
            <w:r w:rsidRPr="00E809E6">
              <w:rPr>
                <w:rFonts w:asciiTheme="minorHAnsi" w:hAnsiTheme="minorHAnsi" w:cstheme="minorHAnsi"/>
                <w:bCs/>
                <w:sz w:val="22"/>
                <w:szCs w:val="22"/>
              </w:rPr>
              <w:t>Nabobo</w:t>
            </w:r>
            <w:proofErr w:type="spellEnd"/>
            <w:r w:rsidRPr="00E809E6">
              <w:rPr>
                <w:rFonts w:asciiTheme="minorHAnsi" w:hAnsiTheme="minorHAnsi" w:cstheme="minorHAnsi"/>
                <w:bCs/>
                <w:sz w:val="22"/>
                <w:szCs w:val="22"/>
              </w:rPr>
              <w:t xml:space="preserve">-Baba, U. (2008). Decolonising framings in Pacific research: Indigenous Fijian Vanua Research Framework as an organic response. </w:t>
            </w:r>
            <w:proofErr w:type="spellStart"/>
            <w:r w:rsidRPr="00E809E6">
              <w:rPr>
                <w:rFonts w:asciiTheme="minorHAnsi" w:hAnsiTheme="minorHAnsi" w:cstheme="minorHAnsi"/>
                <w:bCs/>
                <w:i/>
                <w:iCs/>
                <w:sz w:val="22"/>
                <w:szCs w:val="22"/>
              </w:rPr>
              <w:t>AlterNative</w:t>
            </w:r>
            <w:proofErr w:type="spellEnd"/>
            <w:r w:rsidRPr="00E809E6">
              <w:rPr>
                <w:rFonts w:asciiTheme="minorHAnsi" w:hAnsiTheme="minorHAnsi" w:cstheme="minorHAnsi"/>
                <w:bCs/>
                <w:i/>
                <w:iCs/>
                <w:sz w:val="22"/>
                <w:szCs w:val="22"/>
              </w:rPr>
              <w:t>: An International Journal of Indigenous Peoples, 4</w:t>
            </w:r>
            <w:r w:rsidRPr="00E809E6">
              <w:rPr>
                <w:rFonts w:asciiTheme="minorHAnsi" w:hAnsiTheme="minorHAnsi" w:cstheme="minorHAnsi"/>
                <w:bCs/>
                <w:sz w:val="22"/>
                <w:szCs w:val="22"/>
              </w:rPr>
              <w:t xml:space="preserve">(2), 140–154. </w:t>
            </w:r>
            <w:hyperlink r:id="rId32" w:history="1">
              <w:r w:rsidRPr="004C3303">
                <w:rPr>
                  <w:rStyle w:val="Hyperlink"/>
                  <w:rFonts w:asciiTheme="minorHAnsi" w:hAnsiTheme="minorHAnsi" w:cstheme="minorHAnsi"/>
                  <w:bCs/>
                  <w:szCs w:val="22"/>
                </w:rPr>
                <w:t>https://doi.org/10.1177/117718010800400210</w:t>
              </w:r>
            </w:hyperlink>
          </w:p>
          <w:p w14:paraId="1C1CBE6A"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2003B1C2" w14:textId="77777777"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Neef, A., Benge, L., &amp; Boruff, B. (2018). Climate adaptation strategies in Fiji: The role of social norms and relocation. In Y. Matsuda (Ed.), </w:t>
            </w:r>
            <w:r w:rsidRPr="00E809E6">
              <w:rPr>
                <w:rFonts w:asciiTheme="minorHAnsi" w:hAnsiTheme="minorHAnsi" w:cstheme="minorHAnsi"/>
                <w:bCs/>
                <w:i/>
                <w:iCs/>
                <w:sz w:val="22"/>
                <w:szCs w:val="22"/>
              </w:rPr>
              <w:t>Climate Change and Development Policy</w:t>
            </w:r>
            <w:r w:rsidRPr="00E809E6">
              <w:rPr>
                <w:rFonts w:asciiTheme="minorHAnsi" w:hAnsiTheme="minorHAnsi" w:cstheme="minorHAnsi"/>
                <w:bCs/>
                <w:sz w:val="22"/>
                <w:szCs w:val="22"/>
              </w:rPr>
              <w:t xml:space="preserve"> (pp. 137–160). Springer.</w:t>
            </w:r>
          </w:p>
          <w:p w14:paraId="1EE086EA"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48C71CD8" w14:textId="77777777"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Piggott-McKellar, A., McMichael, C., &amp; Powell, T. (2021). Generational retreat: Adaptation to climate change in a Fijian coastal village. </w:t>
            </w:r>
            <w:r w:rsidRPr="00E809E6">
              <w:rPr>
                <w:rFonts w:asciiTheme="minorHAnsi" w:hAnsiTheme="minorHAnsi" w:cstheme="minorHAnsi"/>
                <w:bCs/>
                <w:i/>
                <w:iCs/>
                <w:sz w:val="22"/>
                <w:szCs w:val="22"/>
              </w:rPr>
              <w:t>Regional Environmental Change, 21</w:t>
            </w:r>
            <w:r w:rsidRPr="00E809E6">
              <w:rPr>
                <w:rFonts w:asciiTheme="minorHAnsi" w:hAnsiTheme="minorHAnsi" w:cstheme="minorHAnsi"/>
                <w:bCs/>
                <w:sz w:val="22"/>
                <w:szCs w:val="22"/>
              </w:rPr>
              <w:t>(2), 80.</w:t>
            </w:r>
          </w:p>
          <w:p w14:paraId="00B40B24"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377B2C05" w14:textId="77777777"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Wang, C., &amp; Burris, M. A. (1997). Photovoice: Concept, methodology, and use for participatory needs assessment. </w:t>
            </w:r>
            <w:r w:rsidRPr="00E809E6">
              <w:rPr>
                <w:rFonts w:asciiTheme="minorHAnsi" w:hAnsiTheme="minorHAnsi" w:cstheme="minorHAnsi"/>
                <w:bCs/>
                <w:i/>
                <w:iCs/>
                <w:sz w:val="22"/>
                <w:szCs w:val="22"/>
              </w:rPr>
              <w:t xml:space="preserve">Health Education &amp; </w:t>
            </w:r>
            <w:proofErr w:type="spellStart"/>
            <w:r w:rsidRPr="00E809E6">
              <w:rPr>
                <w:rFonts w:asciiTheme="minorHAnsi" w:hAnsiTheme="minorHAnsi" w:cstheme="minorHAnsi"/>
                <w:bCs/>
                <w:i/>
                <w:iCs/>
                <w:sz w:val="22"/>
                <w:szCs w:val="22"/>
              </w:rPr>
              <w:t>Behavior</w:t>
            </w:r>
            <w:proofErr w:type="spellEnd"/>
            <w:r w:rsidRPr="00E809E6">
              <w:rPr>
                <w:rFonts w:asciiTheme="minorHAnsi" w:hAnsiTheme="minorHAnsi" w:cstheme="minorHAnsi"/>
                <w:bCs/>
                <w:i/>
                <w:iCs/>
                <w:sz w:val="22"/>
                <w:szCs w:val="22"/>
              </w:rPr>
              <w:t>, 24</w:t>
            </w:r>
            <w:r w:rsidRPr="00E809E6">
              <w:rPr>
                <w:rFonts w:asciiTheme="minorHAnsi" w:hAnsiTheme="minorHAnsi" w:cstheme="minorHAnsi"/>
                <w:bCs/>
                <w:sz w:val="22"/>
                <w:szCs w:val="22"/>
              </w:rPr>
              <w:t>(3), 369–387.</w:t>
            </w:r>
          </w:p>
          <w:p w14:paraId="1C87A80A" w14:textId="77777777" w:rsidR="00E809E6" w:rsidRPr="00E809E6" w:rsidRDefault="00E809E6" w:rsidP="00E809E6">
            <w:pPr>
              <w:pStyle w:val="BulletPoints"/>
              <w:numPr>
                <w:ilvl w:val="0"/>
                <w:numId w:val="0"/>
              </w:numPr>
              <w:spacing w:after="0"/>
              <w:rPr>
                <w:rFonts w:asciiTheme="minorHAnsi" w:hAnsiTheme="minorHAnsi" w:cstheme="minorHAnsi"/>
                <w:bCs/>
                <w:sz w:val="22"/>
                <w:szCs w:val="22"/>
              </w:rPr>
            </w:pPr>
          </w:p>
          <w:p w14:paraId="723F1CDB" w14:textId="7F1F053F" w:rsidR="00E809E6" w:rsidRDefault="00E809E6" w:rsidP="00E809E6">
            <w:pPr>
              <w:pStyle w:val="BulletPoints"/>
              <w:numPr>
                <w:ilvl w:val="0"/>
                <w:numId w:val="0"/>
              </w:numPr>
              <w:spacing w:after="0"/>
              <w:rPr>
                <w:rFonts w:asciiTheme="minorHAnsi" w:hAnsiTheme="minorHAnsi" w:cstheme="minorHAnsi"/>
                <w:bCs/>
                <w:sz w:val="22"/>
                <w:szCs w:val="22"/>
              </w:rPr>
            </w:pPr>
            <w:r w:rsidRPr="00E809E6">
              <w:rPr>
                <w:rFonts w:asciiTheme="minorHAnsi" w:hAnsiTheme="minorHAnsi" w:cstheme="minorHAnsi"/>
                <w:bCs/>
                <w:sz w:val="22"/>
                <w:szCs w:val="22"/>
              </w:rPr>
              <w:t xml:space="preserve">Yee, M., McNamara, K. E., Piggott-McKellar, A. E., &amp; McMichael, C. (2022). The role of Vanua in climate-related voluntary immobility in Fiji. </w:t>
            </w:r>
            <w:r w:rsidRPr="00E809E6">
              <w:rPr>
                <w:rFonts w:asciiTheme="minorHAnsi" w:hAnsiTheme="minorHAnsi" w:cstheme="minorHAnsi"/>
                <w:bCs/>
                <w:i/>
                <w:iCs/>
                <w:sz w:val="22"/>
                <w:szCs w:val="22"/>
              </w:rPr>
              <w:t>Frontiers in Climate, 4</w:t>
            </w:r>
            <w:r w:rsidRPr="00E809E6">
              <w:rPr>
                <w:rFonts w:asciiTheme="minorHAnsi" w:hAnsiTheme="minorHAnsi" w:cstheme="minorHAnsi"/>
                <w:bCs/>
                <w:sz w:val="22"/>
                <w:szCs w:val="22"/>
              </w:rPr>
              <w:t xml:space="preserve">, 1034765. </w:t>
            </w:r>
            <w:hyperlink r:id="rId33" w:history="1">
              <w:r w:rsidRPr="004C3303">
                <w:rPr>
                  <w:rStyle w:val="Hyperlink"/>
                  <w:rFonts w:asciiTheme="minorHAnsi" w:hAnsiTheme="minorHAnsi" w:cstheme="minorHAnsi"/>
                  <w:bCs/>
                  <w:szCs w:val="22"/>
                </w:rPr>
                <w:t>https://doi.org/10.3389/fclim.2022.1034765</w:t>
              </w:r>
            </w:hyperlink>
          </w:p>
          <w:p w14:paraId="66310624" w14:textId="77777777" w:rsidR="000B75F8" w:rsidRDefault="000B75F8" w:rsidP="000B75F8">
            <w:pPr>
              <w:pStyle w:val="BulletPoints"/>
              <w:numPr>
                <w:ilvl w:val="0"/>
                <w:numId w:val="0"/>
              </w:numPr>
              <w:jc w:val="left"/>
              <w:rPr>
                <w:rFonts w:asciiTheme="minorHAnsi" w:hAnsiTheme="minorHAnsi" w:cstheme="minorHAnsi"/>
                <w:b/>
                <w:color w:val="864EA8" w:themeColor="accent1" w:themeShade="BF"/>
              </w:rPr>
            </w:pPr>
          </w:p>
          <w:p w14:paraId="4796ECC5" w14:textId="247E3E91" w:rsidR="000B75F8" w:rsidRPr="000B75F8" w:rsidRDefault="000B75F8" w:rsidP="000B75F8">
            <w:pPr>
              <w:pStyle w:val="BulletPoints"/>
              <w:numPr>
                <w:ilvl w:val="0"/>
                <w:numId w:val="0"/>
              </w:numPr>
              <w:jc w:val="left"/>
              <w:rPr>
                <w:rFonts w:asciiTheme="minorHAnsi" w:hAnsiTheme="minorHAnsi" w:cstheme="minorHAnsi"/>
                <w:b/>
                <w:color w:val="864EA8" w:themeColor="accent1" w:themeShade="BF"/>
              </w:rPr>
            </w:pPr>
            <w:r>
              <w:rPr>
                <w:rFonts w:asciiTheme="minorHAnsi" w:hAnsiTheme="minorHAnsi" w:cstheme="minorHAnsi"/>
                <w:b/>
                <w:color w:val="864EA8" w:themeColor="accent1" w:themeShade="BF"/>
              </w:rPr>
              <w:t>Acknowledgments</w:t>
            </w:r>
          </w:p>
          <w:p w14:paraId="4D3C00CF" w14:textId="77777777" w:rsidR="000B75F8" w:rsidRPr="000B75F8" w:rsidRDefault="000B75F8" w:rsidP="000B75F8">
            <w:pPr>
              <w:pStyle w:val="BulletPoints"/>
              <w:numPr>
                <w:ilvl w:val="0"/>
                <w:numId w:val="0"/>
              </w:numPr>
              <w:spacing w:after="0"/>
              <w:rPr>
                <w:rFonts w:asciiTheme="minorHAnsi" w:hAnsiTheme="minorHAnsi" w:cstheme="minorHAnsi"/>
                <w:bCs/>
                <w:sz w:val="22"/>
                <w:szCs w:val="22"/>
              </w:rPr>
            </w:pPr>
            <w:r w:rsidRPr="000B75F8">
              <w:rPr>
                <w:rFonts w:asciiTheme="minorHAnsi" w:hAnsiTheme="minorHAnsi" w:cstheme="minorHAnsi"/>
                <w:bCs/>
                <w:sz w:val="22"/>
                <w:szCs w:val="22"/>
              </w:rPr>
              <w:t xml:space="preserve">Vinaka </w:t>
            </w:r>
            <w:proofErr w:type="spellStart"/>
            <w:r w:rsidRPr="000B75F8">
              <w:rPr>
                <w:rFonts w:asciiTheme="minorHAnsi" w:hAnsiTheme="minorHAnsi" w:cstheme="minorHAnsi"/>
                <w:bCs/>
                <w:sz w:val="22"/>
                <w:szCs w:val="22"/>
              </w:rPr>
              <w:t>vakalevu</w:t>
            </w:r>
            <w:proofErr w:type="spellEnd"/>
            <w:r w:rsidRPr="000B75F8">
              <w:rPr>
                <w:rFonts w:asciiTheme="minorHAnsi" w:hAnsiTheme="minorHAnsi" w:cstheme="minorHAnsi"/>
                <w:bCs/>
                <w:sz w:val="22"/>
                <w:szCs w:val="22"/>
              </w:rPr>
              <w:t xml:space="preserve"> to the communities of </w:t>
            </w:r>
            <w:proofErr w:type="spellStart"/>
            <w:r w:rsidRPr="000B75F8">
              <w:rPr>
                <w:rFonts w:asciiTheme="minorHAnsi" w:hAnsiTheme="minorHAnsi" w:cstheme="minorHAnsi"/>
                <w:bCs/>
                <w:sz w:val="22"/>
                <w:szCs w:val="22"/>
              </w:rPr>
              <w:t>Galoa</w:t>
            </w:r>
            <w:proofErr w:type="spellEnd"/>
            <w:r w:rsidRPr="000B75F8">
              <w:rPr>
                <w:rFonts w:asciiTheme="minorHAnsi" w:hAnsiTheme="minorHAnsi" w:cstheme="minorHAnsi"/>
                <w:bCs/>
                <w:sz w:val="22"/>
                <w:szCs w:val="22"/>
              </w:rPr>
              <w:t xml:space="preserve"> and </w:t>
            </w:r>
            <w:proofErr w:type="spellStart"/>
            <w:r w:rsidRPr="000B75F8">
              <w:rPr>
                <w:rFonts w:asciiTheme="minorHAnsi" w:hAnsiTheme="minorHAnsi" w:cstheme="minorHAnsi"/>
                <w:bCs/>
                <w:sz w:val="22"/>
                <w:szCs w:val="22"/>
              </w:rPr>
              <w:t>Yadua</w:t>
            </w:r>
            <w:proofErr w:type="spellEnd"/>
            <w:r w:rsidRPr="000B75F8">
              <w:rPr>
                <w:rFonts w:asciiTheme="minorHAnsi" w:hAnsiTheme="minorHAnsi" w:cstheme="minorHAnsi"/>
                <w:bCs/>
                <w:sz w:val="22"/>
                <w:szCs w:val="22"/>
              </w:rPr>
              <w:t xml:space="preserve"> for their generosity, participation, and collaboration throughout this research.</w:t>
            </w:r>
          </w:p>
          <w:p w14:paraId="7D1579FB" w14:textId="77777777" w:rsidR="004C2181" w:rsidRDefault="004C2181" w:rsidP="000B75F8">
            <w:pPr>
              <w:pStyle w:val="BulletPoints"/>
              <w:numPr>
                <w:ilvl w:val="0"/>
                <w:numId w:val="0"/>
              </w:numPr>
              <w:spacing w:after="0"/>
              <w:rPr>
                <w:rFonts w:asciiTheme="minorHAnsi" w:hAnsiTheme="minorHAnsi" w:cstheme="minorHAnsi"/>
                <w:bCs/>
                <w:sz w:val="22"/>
                <w:szCs w:val="22"/>
              </w:rPr>
            </w:pPr>
          </w:p>
          <w:p w14:paraId="11F7D633" w14:textId="7FA0300E" w:rsidR="000B75F8" w:rsidRDefault="000B75F8" w:rsidP="000B75F8">
            <w:pPr>
              <w:pStyle w:val="BulletPoints"/>
              <w:numPr>
                <w:ilvl w:val="0"/>
                <w:numId w:val="0"/>
              </w:numPr>
              <w:spacing w:after="0"/>
              <w:rPr>
                <w:rFonts w:asciiTheme="minorHAnsi" w:hAnsiTheme="minorHAnsi" w:cstheme="minorHAnsi"/>
                <w:bCs/>
                <w:sz w:val="22"/>
                <w:szCs w:val="22"/>
              </w:rPr>
            </w:pPr>
            <w:r w:rsidRPr="000B75F8">
              <w:rPr>
                <w:rFonts w:asciiTheme="minorHAnsi" w:hAnsiTheme="minorHAnsi" w:cstheme="minorHAnsi"/>
                <w:bCs/>
                <w:sz w:val="22"/>
                <w:szCs w:val="22"/>
              </w:rPr>
              <w:t xml:space="preserve">This research was supported by The Aotearoa New Zealand International Development Studies Network (DevNet) through the New Zealand Postgraduate Development Field Research Award, and by the Asia-Pacific Network for Global Change Research (APN) through the project </w:t>
            </w:r>
            <w:r w:rsidRPr="000B75F8">
              <w:rPr>
                <w:rFonts w:asciiTheme="minorHAnsi" w:hAnsiTheme="minorHAnsi" w:cstheme="minorHAnsi"/>
                <w:bCs/>
                <w:i/>
                <w:iCs/>
                <w:sz w:val="22"/>
                <w:szCs w:val="22"/>
              </w:rPr>
              <w:t>Moving to Remain in Place: Micro-Mobilities and Circular Migration as Adaptive Strategies to Gendered Climate Risks in Fiji and Samoa</w:t>
            </w:r>
            <w:r w:rsidR="004C2181">
              <w:rPr>
                <w:rFonts w:asciiTheme="minorHAnsi" w:hAnsiTheme="minorHAnsi" w:cstheme="minorHAnsi"/>
                <w:bCs/>
                <w:sz w:val="22"/>
                <w:szCs w:val="22"/>
              </w:rPr>
              <w:t>.</w:t>
            </w:r>
          </w:p>
          <w:p w14:paraId="73A842D6" w14:textId="77777777" w:rsidR="004C2181" w:rsidRPr="000B75F8" w:rsidRDefault="004C2181" w:rsidP="000B75F8">
            <w:pPr>
              <w:pStyle w:val="BulletPoints"/>
              <w:numPr>
                <w:ilvl w:val="0"/>
                <w:numId w:val="0"/>
              </w:numPr>
              <w:spacing w:after="0"/>
              <w:rPr>
                <w:rFonts w:asciiTheme="minorHAnsi" w:hAnsiTheme="minorHAnsi" w:cstheme="minorHAnsi"/>
                <w:bCs/>
                <w:sz w:val="22"/>
                <w:szCs w:val="22"/>
              </w:rPr>
            </w:pPr>
          </w:p>
          <w:p w14:paraId="1DE97C91" w14:textId="3C1CDF57" w:rsidR="00E809E6" w:rsidRPr="00165486" w:rsidRDefault="000B75F8" w:rsidP="004C2181">
            <w:pPr>
              <w:pStyle w:val="BulletPoints"/>
              <w:numPr>
                <w:ilvl w:val="0"/>
                <w:numId w:val="0"/>
              </w:numPr>
              <w:spacing w:after="0"/>
              <w:rPr>
                <w:b/>
              </w:rPr>
            </w:pPr>
            <w:r w:rsidRPr="000B75F8">
              <w:rPr>
                <w:rFonts w:asciiTheme="minorHAnsi" w:hAnsiTheme="minorHAnsi" w:cstheme="minorHAnsi"/>
                <w:bCs/>
                <w:sz w:val="22"/>
                <w:szCs w:val="22"/>
              </w:rPr>
              <w:t xml:space="preserve">The author also gratefully acknowledges the guidance and support of Professor Andreas Neef, Associate Professor Jesse Hession Grayman, and the Fijian research team: Renata </w:t>
            </w:r>
            <w:proofErr w:type="spellStart"/>
            <w:r w:rsidRPr="000B75F8">
              <w:rPr>
                <w:rFonts w:asciiTheme="minorHAnsi" w:hAnsiTheme="minorHAnsi" w:cstheme="minorHAnsi"/>
                <w:bCs/>
                <w:sz w:val="22"/>
                <w:szCs w:val="22"/>
              </w:rPr>
              <w:t>Varea</w:t>
            </w:r>
            <w:proofErr w:type="spellEnd"/>
            <w:r w:rsidRPr="000B75F8">
              <w:rPr>
                <w:rFonts w:asciiTheme="minorHAnsi" w:hAnsiTheme="minorHAnsi" w:cstheme="minorHAnsi"/>
                <w:bCs/>
                <w:sz w:val="22"/>
                <w:szCs w:val="22"/>
              </w:rPr>
              <w:t xml:space="preserve">, Eseta Drova, Talei </w:t>
            </w:r>
            <w:proofErr w:type="spellStart"/>
            <w:r w:rsidRPr="000B75F8">
              <w:rPr>
                <w:rFonts w:asciiTheme="minorHAnsi" w:hAnsiTheme="minorHAnsi" w:cstheme="minorHAnsi"/>
                <w:bCs/>
                <w:sz w:val="22"/>
                <w:szCs w:val="22"/>
              </w:rPr>
              <w:t>Rokotabua</w:t>
            </w:r>
            <w:proofErr w:type="spellEnd"/>
            <w:r w:rsidRPr="000B75F8">
              <w:rPr>
                <w:rFonts w:asciiTheme="minorHAnsi" w:hAnsiTheme="minorHAnsi" w:cstheme="minorHAnsi"/>
                <w:bCs/>
                <w:sz w:val="22"/>
                <w:szCs w:val="22"/>
              </w:rPr>
              <w:t>, and Rufino Varea, whose knowledge, care, and collaboration were central to this research</w:t>
            </w:r>
            <w:r w:rsidR="004C2181">
              <w:rPr>
                <w:rFonts w:asciiTheme="minorHAnsi" w:hAnsiTheme="minorHAnsi" w:cstheme="minorHAnsi"/>
                <w:bCs/>
                <w:sz w:val="22"/>
                <w:szCs w:val="22"/>
              </w:rPr>
              <w:t>, and the Auckland Urban Sketching group for their volunteer art works</w:t>
            </w:r>
            <w:r w:rsidRPr="000B75F8">
              <w:rPr>
                <w:rFonts w:asciiTheme="minorHAnsi" w:hAnsiTheme="minorHAnsi" w:cstheme="minorHAnsi"/>
                <w:bCs/>
                <w:sz w:val="22"/>
                <w:szCs w:val="22"/>
              </w:rPr>
              <w:t>.</w:t>
            </w:r>
          </w:p>
        </w:tc>
      </w:tr>
    </w:tbl>
    <w:p w14:paraId="498E1BAF" w14:textId="77777777" w:rsidR="00831C12" w:rsidRDefault="00831C12" w:rsidP="006344A5">
      <w:pPr>
        <w:pStyle w:val="Heading3"/>
        <w:jc w:val="left"/>
        <w:sectPr w:rsidR="00831C12" w:rsidSect="00AA704D">
          <w:pgSz w:w="11907" w:h="16840" w:code="9"/>
          <w:pgMar w:top="851" w:right="851" w:bottom="1021" w:left="851" w:header="0" w:footer="0" w:gutter="0"/>
          <w:pgNumType w:start="1"/>
          <w:cols w:space="720"/>
          <w:formProt w:val="0"/>
          <w:docGrid w:linePitch="299"/>
        </w:sectPr>
      </w:pPr>
    </w:p>
    <w:p w14:paraId="37F93515" w14:textId="77777777" w:rsidR="00C96608" w:rsidRDefault="00C96608" w:rsidP="004C2181">
      <w:pPr>
        <w:pStyle w:val="Heading3"/>
        <w:spacing w:after="0"/>
        <w:jc w:val="left"/>
      </w:pPr>
    </w:p>
    <w:sectPr w:rsidR="00C96608" w:rsidSect="00AA704D">
      <w:type w:val="continuous"/>
      <w:pgSz w:w="11907" w:h="16840" w:code="9"/>
      <w:pgMar w:top="720" w:right="720" w:bottom="720" w:left="720" w:header="567" w:footer="0" w:gutter="0"/>
      <w:pgNumType w:start="1"/>
      <w:cols w:num="2"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D3BD" w14:textId="77777777" w:rsidR="00AE3D26" w:rsidRDefault="00AE3D26">
      <w:r>
        <w:separator/>
      </w:r>
    </w:p>
  </w:endnote>
  <w:endnote w:type="continuationSeparator" w:id="0">
    <w:p w14:paraId="5E23563F" w14:textId="77777777" w:rsidR="00AE3D26" w:rsidRDefault="00AE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35C0" w14:textId="77777777" w:rsidR="00C035A9" w:rsidRDefault="00C035A9">
    <w:pPr>
      <w:pStyle w:val="Footer"/>
      <w:framePr w:wrap="around" w:vAnchor="text" w:hAnchor="margin" w:xAlign="right" w:y="1"/>
    </w:pPr>
    <w:r>
      <w:fldChar w:fldCharType="begin"/>
    </w:r>
    <w:r>
      <w:instrText xml:space="preserve">PAGE  </w:instrText>
    </w:r>
    <w:r>
      <w:fldChar w:fldCharType="separate"/>
    </w:r>
    <w:r w:rsidR="00090811">
      <w:rPr>
        <w:noProof/>
      </w:rPr>
      <w:t>3</w:t>
    </w:r>
    <w:r>
      <w:fldChar w:fldCharType="end"/>
    </w:r>
  </w:p>
  <w:p w14:paraId="37F935C1" w14:textId="77777777" w:rsidR="00C035A9" w:rsidRDefault="00C035A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214"/>
    </w:tblGrid>
    <w:tr w:rsidR="00F3682C" w14:paraId="7169633F" w14:textId="77777777" w:rsidTr="00F3682C">
      <w:trPr>
        <w:trHeight w:val="709"/>
      </w:trPr>
      <w:tc>
        <w:tcPr>
          <w:tcW w:w="2694" w:type="dxa"/>
          <w:shd w:val="clear" w:color="auto" w:fill="514DAA" w:themeFill="accent2" w:themeFillShade="BF"/>
        </w:tcPr>
        <w:p w14:paraId="6FE4FC77" w14:textId="0CE39F27" w:rsidR="00F3682C" w:rsidRDefault="00F3682C" w:rsidP="00047CA5">
          <w:pPr>
            <w:pStyle w:val="Footer"/>
            <w:tabs>
              <w:tab w:val="clear" w:pos="4320"/>
              <w:tab w:val="clear" w:pos="8640"/>
              <w:tab w:val="left" w:pos="2040"/>
              <w:tab w:val="right" w:pos="2478"/>
            </w:tabs>
          </w:pPr>
          <w:r w:rsidRPr="00F3682C">
            <w:rPr>
              <w:noProof/>
            </w:rPr>
            <w:drawing>
              <wp:inline distT="0" distB="0" distL="0" distR="0" wp14:anchorId="73116251" wp14:editId="7CF5B622">
                <wp:extent cx="419099" cy="426617"/>
                <wp:effectExtent l="0" t="0" r="635" b="0"/>
                <wp:docPr id="1262260951" name="Picture 1" descr="A logo with swirl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3" name="Picture 1" descr="A logo with swirls and lines&#10;&#10;Description automatically generated"/>
                        <pic:cNvPicPr/>
                      </pic:nvPicPr>
                      <pic:blipFill>
                        <a:blip r:embed="rId1"/>
                        <a:stretch>
                          <a:fillRect/>
                        </a:stretch>
                      </pic:blipFill>
                      <pic:spPr>
                        <a:xfrm>
                          <a:off x="0" y="0"/>
                          <a:ext cx="430505" cy="438228"/>
                        </a:xfrm>
                        <a:prstGeom prst="rect">
                          <a:avLst/>
                        </a:prstGeom>
                      </pic:spPr>
                    </pic:pic>
                  </a:graphicData>
                </a:graphic>
              </wp:inline>
            </w:drawing>
          </w:r>
          <w:r>
            <w:tab/>
          </w:r>
          <w:r w:rsidR="00047CA5">
            <w:tab/>
          </w:r>
        </w:p>
      </w:tc>
      <w:tc>
        <w:tcPr>
          <w:tcW w:w="9214" w:type="dxa"/>
          <w:shd w:val="clear" w:color="auto" w:fill="514DAA" w:themeFill="accent2" w:themeFillShade="BF"/>
        </w:tcPr>
        <w:p w14:paraId="3EB6445C" w14:textId="16F9A508" w:rsidR="00F3682C" w:rsidRPr="00F3682C" w:rsidRDefault="00F3682C" w:rsidP="00F3682C">
          <w:pPr>
            <w:pStyle w:val="Footer"/>
            <w:rPr>
              <w:b/>
              <w:bCs/>
            </w:rPr>
          </w:pPr>
          <w:r w:rsidRPr="00F3682C">
            <w:rPr>
              <w:b/>
              <w:bCs/>
              <w:color w:val="FFFFFF" w:themeColor="background1"/>
            </w:rPr>
            <w:t xml:space="preserve">                                                                                 </w:t>
          </w:r>
          <w:r>
            <w:rPr>
              <w:b/>
              <w:bCs/>
              <w:color w:val="FFFFFF" w:themeColor="background1"/>
            </w:rPr>
            <w:t xml:space="preserve">              </w:t>
          </w:r>
          <w:r w:rsidR="00A0273B">
            <w:rPr>
              <w:b/>
              <w:bCs/>
              <w:color w:val="FFFFFF" w:themeColor="background1"/>
            </w:rPr>
            <w:t>Rebecca Thomas</w:t>
          </w:r>
          <w:r w:rsidRPr="00F3682C">
            <w:rPr>
              <w:b/>
              <w:bCs/>
              <w:color w:val="FFFFFF" w:themeColor="background1"/>
            </w:rPr>
            <w:t xml:space="preserve"> | Page </w:t>
          </w:r>
        </w:p>
      </w:tc>
    </w:tr>
  </w:tbl>
  <w:p w14:paraId="37F935C2" w14:textId="39A1963F" w:rsidR="00C035A9" w:rsidRDefault="00C035A9">
    <w:pPr>
      <w:pStyle w:val="Footer"/>
      <w:tabs>
        <w:tab w:val="clear" w:pos="8640"/>
        <w:tab w:val="right" w:pos="9072"/>
      </w:tabs>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8" w:type="dxa"/>
      <w:tblInd w:w="-1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214"/>
    </w:tblGrid>
    <w:tr w:rsidR="00F3682C" w14:paraId="0C849CCA" w14:textId="77777777" w:rsidTr="00F3682C">
      <w:trPr>
        <w:trHeight w:val="709"/>
      </w:trPr>
      <w:tc>
        <w:tcPr>
          <w:tcW w:w="2694" w:type="dxa"/>
          <w:shd w:val="clear" w:color="auto" w:fill="514DAA" w:themeFill="accent2" w:themeFillShade="BF"/>
        </w:tcPr>
        <w:p w14:paraId="1DE0B93B" w14:textId="1FCE50CA" w:rsidR="00F3682C" w:rsidRDefault="00F3682C" w:rsidP="00F3682C">
          <w:pPr>
            <w:pStyle w:val="Footer"/>
            <w:tabs>
              <w:tab w:val="clear" w:pos="4320"/>
              <w:tab w:val="clear" w:pos="8640"/>
              <w:tab w:val="right" w:pos="2478"/>
            </w:tabs>
          </w:pPr>
          <w:r w:rsidRPr="00F3682C">
            <w:rPr>
              <w:noProof/>
            </w:rPr>
            <w:drawing>
              <wp:inline distT="0" distB="0" distL="0" distR="0" wp14:anchorId="1ED142DE" wp14:editId="5CFEF02D">
                <wp:extent cx="419099" cy="426617"/>
                <wp:effectExtent l="0" t="0" r="635" b="0"/>
                <wp:docPr id="509425888" name="Picture 1" descr="A logo with swirl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3" name="Picture 1" descr="A logo with swirls and lines&#10;&#10;Description automatically generated"/>
                        <pic:cNvPicPr/>
                      </pic:nvPicPr>
                      <pic:blipFill>
                        <a:blip r:embed="rId1"/>
                        <a:stretch>
                          <a:fillRect/>
                        </a:stretch>
                      </pic:blipFill>
                      <pic:spPr>
                        <a:xfrm>
                          <a:off x="0" y="0"/>
                          <a:ext cx="430505" cy="438228"/>
                        </a:xfrm>
                        <a:prstGeom prst="rect">
                          <a:avLst/>
                        </a:prstGeom>
                      </pic:spPr>
                    </pic:pic>
                  </a:graphicData>
                </a:graphic>
              </wp:inline>
            </w:drawing>
          </w:r>
          <w:r>
            <w:tab/>
          </w:r>
        </w:p>
      </w:tc>
      <w:tc>
        <w:tcPr>
          <w:tcW w:w="9214" w:type="dxa"/>
          <w:shd w:val="clear" w:color="auto" w:fill="514DAA" w:themeFill="accent2" w:themeFillShade="BF"/>
        </w:tcPr>
        <w:p w14:paraId="56BE0D04" w14:textId="4E7C31D4" w:rsidR="00F3682C" w:rsidRDefault="00F3682C" w:rsidP="00F3682C">
          <w:pPr>
            <w:pStyle w:val="Footer"/>
            <w:rPr>
              <w:b/>
              <w:bCs/>
              <w:color w:val="FFFFFF" w:themeColor="background1"/>
            </w:rPr>
          </w:pPr>
          <w:r w:rsidRPr="00F3682C">
            <w:rPr>
              <w:b/>
              <w:bCs/>
              <w:color w:val="FFFFFF" w:themeColor="background1"/>
            </w:rPr>
            <w:t xml:space="preserve">                                                                                 </w:t>
          </w:r>
          <w:r>
            <w:rPr>
              <w:b/>
              <w:bCs/>
              <w:color w:val="FFFFFF" w:themeColor="background1"/>
            </w:rPr>
            <w:t xml:space="preserve">              </w:t>
          </w:r>
          <w:r w:rsidR="00A0273B">
            <w:rPr>
              <w:b/>
              <w:bCs/>
              <w:color w:val="FFFFFF" w:themeColor="background1"/>
            </w:rPr>
            <w:t>Rebecca Thomas</w:t>
          </w:r>
          <w:r w:rsidRPr="00F3682C">
            <w:rPr>
              <w:b/>
              <w:bCs/>
              <w:color w:val="FFFFFF" w:themeColor="background1"/>
            </w:rPr>
            <w:t xml:space="preserve"> | Page </w:t>
          </w:r>
          <w:r w:rsidR="000B75F8">
            <w:rPr>
              <w:b/>
              <w:bCs/>
              <w:color w:val="FFFFFF" w:themeColor="background1"/>
            </w:rPr>
            <w:t>1</w:t>
          </w:r>
        </w:p>
        <w:p w14:paraId="512ED3EA" w14:textId="5406331C" w:rsidR="00047CA5" w:rsidRPr="00047CA5" w:rsidRDefault="00047CA5" w:rsidP="00047CA5">
          <w:pPr>
            <w:tabs>
              <w:tab w:val="left" w:pos="3495"/>
            </w:tabs>
          </w:pPr>
          <w:r>
            <w:tab/>
          </w:r>
        </w:p>
      </w:tc>
    </w:tr>
  </w:tbl>
  <w:p w14:paraId="37F935CA" w14:textId="44E48AD9" w:rsidR="00C035A9" w:rsidRDefault="00F3682C" w:rsidP="00F3682C">
    <w:pPr>
      <w:pStyle w:val="Footer"/>
      <w:rPr>
        <w:sz w:val="18"/>
      </w:rPr>
    </w:pPr>
    <w: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214"/>
    </w:tblGrid>
    <w:tr w:rsidR="0024202D" w14:paraId="50FE04FA" w14:textId="77777777" w:rsidTr="00F3682C">
      <w:trPr>
        <w:trHeight w:val="709"/>
      </w:trPr>
      <w:tc>
        <w:tcPr>
          <w:tcW w:w="2694" w:type="dxa"/>
          <w:shd w:val="clear" w:color="auto" w:fill="514DAA" w:themeFill="accent2" w:themeFillShade="BF"/>
        </w:tcPr>
        <w:p w14:paraId="1A2D6694" w14:textId="77777777" w:rsidR="0024202D" w:rsidRDefault="0024202D" w:rsidP="00047CA5">
          <w:pPr>
            <w:pStyle w:val="Footer"/>
            <w:tabs>
              <w:tab w:val="clear" w:pos="4320"/>
              <w:tab w:val="clear" w:pos="8640"/>
              <w:tab w:val="left" w:pos="2040"/>
              <w:tab w:val="right" w:pos="2478"/>
            </w:tabs>
          </w:pPr>
          <w:r w:rsidRPr="00F3682C">
            <w:rPr>
              <w:noProof/>
            </w:rPr>
            <w:drawing>
              <wp:inline distT="0" distB="0" distL="0" distR="0" wp14:anchorId="139517D5" wp14:editId="59C00877">
                <wp:extent cx="419099" cy="426617"/>
                <wp:effectExtent l="0" t="0" r="635" b="0"/>
                <wp:docPr id="1278613093" name="Picture 1" descr="A logo with swirl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3" name="Picture 1" descr="A logo with swirls and lines&#10;&#10;Description automatically generated"/>
                        <pic:cNvPicPr/>
                      </pic:nvPicPr>
                      <pic:blipFill>
                        <a:blip r:embed="rId1"/>
                        <a:stretch>
                          <a:fillRect/>
                        </a:stretch>
                      </pic:blipFill>
                      <pic:spPr>
                        <a:xfrm>
                          <a:off x="0" y="0"/>
                          <a:ext cx="430505" cy="438228"/>
                        </a:xfrm>
                        <a:prstGeom prst="rect">
                          <a:avLst/>
                        </a:prstGeom>
                      </pic:spPr>
                    </pic:pic>
                  </a:graphicData>
                </a:graphic>
              </wp:inline>
            </w:drawing>
          </w:r>
          <w:r>
            <w:tab/>
          </w:r>
          <w:r>
            <w:tab/>
          </w:r>
        </w:p>
      </w:tc>
      <w:tc>
        <w:tcPr>
          <w:tcW w:w="9214" w:type="dxa"/>
          <w:shd w:val="clear" w:color="auto" w:fill="514DAA" w:themeFill="accent2" w:themeFillShade="BF"/>
        </w:tcPr>
        <w:p w14:paraId="5AC4F529" w14:textId="03520F83" w:rsidR="0024202D" w:rsidRPr="00F3682C" w:rsidRDefault="0024202D" w:rsidP="00F3682C">
          <w:pPr>
            <w:pStyle w:val="Footer"/>
            <w:rPr>
              <w:b/>
              <w:bCs/>
            </w:rPr>
          </w:pPr>
          <w:r w:rsidRPr="00F3682C">
            <w:rPr>
              <w:b/>
              <w:bCs/>
              <w:color w:val="FFFFFF" w:themeColor="background1"/>
            </w:rPr>
            <w:t xml:space="preserve">                                                                                 </w:t>
          </w:r>
          <w:r>
            <w:rPr>
              <w:b/>
              <w:bCs/>
              <w:color w:val="FFFFFF" w:themeColor="background1"/>
            </w:rPr>
            <w:t xml:space="preserve">              Rebecca Thomas</w:t>
          </w:r>
          <w:r w:rsidRPr="00F3682C">
            <w:rPr>
              <w:b/>
              <w:bCs/>
              <w:color w:val="FFFFFF" w:themeColor="background1"/>
            </w:rPr>
            <w:t xml:space="preserve"> | Page </w:t>
          </w:r>
          <w:r>
            <w:rPr>
              <w:b/>
              <w:bCs/>
              <w:color w:val="FFFFFF" w:themeColor="background1"/>
            </w:rPr>
            <w:t>2</w:t>
          </w:r>
        </w:p>
      </w:tc>
    </w:tr>
  </w:tbl>
  <w:p w14:paraId="3C11D7EB" w14:textId="77777777" w:rsidR="0024202D" w:rsidRDefault="0024202D">
    <w:pPr>
      <w:pStyle w:val="Footer"/>
      <w:tabs>
        <w:tab w:val="clear" w:pos="8640"/>
        <w:tab w:val="right" w:pos="9072"/>
      </w:tabs>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0F808" w14:textId="77777777" w:rsidR="00AE3D26" w:rsidRDefault="00AE3D26">
      <w:r>
        <w:separator/>
      </w:r>
    </w:p>
  </w:footnote>
  <w:footnote w:type="continuationSeparator" w:id="0">
    <w:p w14:paraId="609CBCED" w14:textId="77777777" w:rsidR="00AE3D26" w:rsidRDefault="00AE3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35BD" w14:textId="77777777" w:rsidR="00C035A9" w:rsidRDefault="00C035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0811">
      <w:rPr>
        <w:rStyle w:val="PageNumber"/>
        <w:noProof/>
      </w:rPr>
      <w:t>3</w:t>
    </w:r>
    <w:r>
      <w:rPr>
        <w:rStyle w:val="PageNumber"/>
      </w:rPr>
      <w:fldChar w:fldCharType="end"/>
    </w:r>
  </w:p>
  <w:p w14:paraId="37F935BE" w14:textId="77777777" w:rsidR="00C035A9" w:rsidRDefault="00C03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35BF" w14:textId="68138929" w:rsidR="00C035A9" w:rsidRDefault="00C035A9">
    <w:pPr>
      <w:pStyle w:val="Header"/>
      <w:tabs>
        <w:tab w:val="clear" w:pos="4320"/>
        <w:tab w:val="clear" w:pos="8640"/>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8" w:type="dxa"/>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B5DD" w:themeFill="accent2" w:themeFillTint="99"/>
      <w:tblLook w:val="04A0" w:firstRow="1" w:lastRow="0" w:firstColumn="1" w:lastColumn="0" w:noHBand="0" w:noVBand="1"/>
    </w:tblPr>
    <w:tblGrid>
      <w:gridCol w:w="4050"/>
      <w:gridCol w:w="7858"/>
    </w:tblGrid>
    <w:tr w:rsidR="00831C12" w14:paraId="13E1D8B1" w14:textId="77777777" w:rsidTr="00831C12">
      <w:trPr>
        <w:trHeight w:val="1843"/>
      </w:trPr>
      <w:tc>
        <w:tcPr>
          <w:tcW w:w="4050" w:type="dxa"/>
          <w:shd w:val="clear" w:color="auto" w:fill="514DAA" w:themeFill="accent2" w:themeFillShade="BF"/>
        </w:tcPr>
        <w:p w14:paraId="564BFEC2" w14:textId="071A5B9C" w:rsidR="00831C12" w:rsidRPr="00831C12" w:rsidRDefault="00831C12" w:rsidP="00F3682C">
          <w:pPr>
            <w:ind w:left="-1523"/>
          </w:pPr>
          <w:r w:rsidRPr="00831C12">
            <w:rPr>
              <w:noProof/>
            </w:rPr>
            <w:drawing>
              <wp:anchor distT="0" distB="0" distL="114300" distR="114300" simplePos="0" relativeHeight="251658240" behindDoc="1" locked="0" layoutInCell="1" allowOverlap="1" wp14:anchorId="13B21678" wp14:editId="188C60B2">
                <wp:simplePos x="0" y="0"/>
                <wp:positionH relativeFrom="column">
                  <wp:posOffset>166370</wp:posOffset>
                </wp:positionH>
                <wp:positionV relativeFrom="paragraph">
                  <wp:posOffset>219075</wp:posOffset>
                </wp:positionV>
                <wp:extent cx="2257425" cy="767080"/>
                <wp:effectExtent l="0" t="0" r="9525" b="0"/>
                <wp:wrapThrough wrapText="bothSides">
                  <wp:wrapPolygon edited="0">
                    <wp:start x="0" y="0"/>
                    <wp:lineTo x="0" y="20921"/>
                    <wp:lineTo x="21509" y="20921"/>
                    <wp:lineTo x="21509" y="0"/>
                    <wp:lineTo x="0" y="0"/>
                  </wp:wrapPolygon>
                </wp:wrapThrough>
                <wp:docPr id="996770754" name="Picture 99677075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57425" cy="767080"/>
                        </a:xfrm>
                        <a:prstGeom prst="rect">
                          <a:avLst/>
                        </a:prstGeom>
                      </pic:spPr>
                    </pic:pic>
                  </a:graphicData>
                </a:graphic>
              </wp:anchor>
            </w:drawing>
          </w:r>
        </w:p>
      </w:tc>
      <w:tc>
        <w:tcPr>
          <w:tcW w:w="7858" w:type="dxa"/>
          <w:shd w:val="clear" w:color="auto" w:fill="514DAA" w:themeFill="accent2" w:themeFillShade="BF"/>
        </w:tcPr>
        <w:p w14:paraId="704A461C" w14:textId="77777777" w:rsidR="00831C12" w:rsidRPr="00831C12" w:rsidRDefault="00831C12">
          <w:pPr>
            <w:rPr>
              <w:rFonts w:asciiTheme="majorHAnsi" w:hAnsiTheme="majorHAnsi" w:cstheme="minorHAnsi"/>
              <w:b/>
              <w:sz w:val="28"/>
              <w:szCs w:val="28"/>
            </w:rPr>
          </w:pPr>
        </w:p>
        <w:p w14:paraId="3E71509C" w14:textId="285FDA3E" w:rsidR="00831C12" w:rsidRPr="00831C12" w:rsidRDefault="00831C12" w:rsidP="00831C12">
          <w:pPr>
            <w:spacing w:line="360" w:lineRule="auto"/>
            <w:rPr>
              <w:rFonts w:asciiTheme="majorHAnsi" w:hAnsiTheme="majorHAnsi" w:cstheme="minorHAnsi"/>
              <w:b/>
              <w:color w:val="FFFFFF" w:themeColor="background1"/>
              <w:sz w:val="26"/>
              <w:szCs w:val="26"/>
            </w:rPr>
          </w:pPr>
          <w:r w:rsidRPr="00831C12">
            <w:rPr>
              <w:rFonts w:asciiTheme="majorHAnsi" w:hAnsiTheme="majorHAnsi" w:cstheme="minorHAnsi"/>
              <w:b/>
              <w:color w:val="FFFFFF" w:themeColor="background1"/>
              <w:sz w:val="26"/>
              <w:szCs w:val="26"/>
            </w:rPr>
            <w:t>New Zealand Postgraduate Development Field Research Award</w:t>
          </w:r>
        </w:p>
        <w:p w14:paraId="26E67DF7" w14:textId="142F03B6" w:rsidR="00831C12" w:rsidRPr="00831C12" w:rsidRDefault="00831C12" w:rsidP="00831C12">
          <w:pPr>
            <w:spacing w:line="360" w:lineRule="auto"/>
            <w:rPr>
              <w:rFonts w:asciiTheme="majorHAnsi" w:hAnsiTheme="majorHAnsi" w:cstheme="minorHAnsi"/>
              <w:b/>
              <w:color w:val="FFFFFF" w:themeColor="background1"/>
              <w:sz w:val="26"/>
              <w:szCs w:val="26"/>
            </w:rPr>
          </w:pPr>
          <w:r w:rsidRPr="00831C12">
            <w:rPr>
              <w:rFonts w:asciiTheme="majorHAnsi" w:hAnsiTheme="majorHAnsi" w:cstheme="minorHAnsi"/>
              <w:b/>
              <w:color w:val="FFFFFF" w:themeColor="background1"/>
              <w:sz w:val="26"/>
              <w:szCs w:val="26"/>
            </w:rPr>
            <w:t>Policy Brief</w:t>
          </w:r>
        </w:p>
        <w:p w14:paraId="3C794892" w14:textId="0DED6F6E" w:rsidR="00831C12" w:rsidRPr="00831C12" w:rsidRDefault="00831C12" w:rsidP="00831C12">
          <w:pPr>
            <w:spacing w:line="360" w:lineRule="auto"/>
            <w:rPr>
              <w:rFonts w:asciiTheme="majorHAnsi" w:hAnsiTheme="majorHAnsi" w:cstheme="minorHAnsi"/>
              <w:b/>
              <w:sz w:val="24"/>
              <w:szCs w:val="24"/>
            </w:rPr>
          </w:pPr>
          <w:r w:rsidRPr="00831C12">
            <w:rPr>
              <w:rFonts w:asciiTheme="majorHAnsi" w:hAnsiTheme="majorHAnsi" w:cstheme="minorHAnsi"/>
              <w:b/>
              <w:color w:val="FFFFFF" w:themeColor="background1"/>
              <w:sz w:val="26"/>
              <w:szCs w:val="26"/>
            </w:rPr>
            <w:t>202</w:t>
          </w:r>
          <w:r w:rsidR="00CD7871">
            <w:rPr>
              <w:rFonts w:asciiTheme="majorHAnsi" w:hAnsiTheme="majorHAnsi" w:cstheme="minorHAnsi"/>
              <w:b/>
              <w:color w:val="FFFFFF" w:themeColor="background1"/>
              <w:sz w:val="26"/>
              <w:szCs w:val="26"/>
            </w:rPr>
            <w:t>6</w:t>
          </w:r>
        </w:p>
      </w:tc>
    </w:tr>
  </w:tbl>
  <w:p w14:paraId="7F431101" w14:textId="53073D23" w:rsidR="00F20EC1" w:rsidRDefault="00F20EC1" w:rsidP="00831C12">
    <w:pPr>
      <w:pStyle w:val="Header"/>
      <w:tabs>
        <w:tab w:val="clear" w:pos="4320"/>
        <w:tab w:val="clear" w:pos="8640"/>
        <w:tab w:val="center" w:pos="4536"/>
        <w:tab w:val="right" w:pos="90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D7A9" w14:textId="045935A8" w:rsidR="00B90C33" w:rsidRDefault="00B90C33">
    <w:pPr>
      <w:pStyle w:val="Header"/>
      <w:tabs>
        <w:tab w:val="clear" w:pos="4320"/>
        <w:tab w:val="clear" w:pos="8640"/>
        <w:tab w:val="center" w:pos="4680"/>
        <w:tab w:val="right" w:pos="9360"/>
      </w:tabs>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A2061"/>
    <w:multiLevelType w:val="hybridMultilevel"/>
    <w:tmpl w:val="79CE74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8194644"/>
    <w:multiLevelType w:val="multilevel"/>
    <w:tmpl w:val="E1C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B6EB1"/>
    <w:multiLevelType w:val="singleLevel"/>
    <w:tmpl w:val="EC284236"/>
    <w:lvl w:ilvl="0">
      <w:start w:val="1"/>
      <w:numFmt w:val="bullet"/>
      <w:pStyle w:val="BulletText3"/>
      <w:lvlText w:val=""/>
      <w:lvlJc w:val="left"/>
      <w:pPr>
        <w:tabs>
          <w:tab w:val="num" w:pos="794"/>
        </w:tabs>
        <w:ind w:left="794" w:hanging="397"/>
      </w:pPr>
      <w:rPr>
        <w:rFonts w:ascii="Symbol" w:hAnsi="Symbol" w:hint="default"/>
        <w:color w:val="008080"/>
      </w:rPr>
    </w:lvl>
  </w:abstractNum>
  <w:abstractNum w:abstractNumId="4" w15:restartNumberingAfterBreak="0">
    <w:nsid w:val="13E72981"/>
    <w:multiLevelType w:val="hybridMultilevel"/>
    <w:tmpl w:val="0F162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C815DB"/>
    <w:multiLevelType w:val="hybridMultilevel"/>
    <w:tmpl w:val="57942B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BB700E5"/>
    <w:multiLevelType w:val="hybridMultilevel"/>
    <w:tmpl w:val="5BC2A5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CEF35F0"/>
    <w:multiLevelType w:val="hybridMultilevel"/>
    <w:tmpl w:val="CE6EC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F677322"/>
    <w:multiLevelType w:val="hybridMultilevel"/>
    <w:tmpl w:val="7186B8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79423F7"/>
    <w:multiLevelType w:val="hybridMultilevel"/>
    <w:tmpl w:val="E8128796"/>
    <w:lvl w:ilvl="0" w:tplc="B19AE3A4">
      <w:start w:val="1"/>
      <w:numFmt w:val="bullet"/>
      <w:pStyle w:val="BulletText2"/>
      <w:lvlText w:val=""/>
      <w:lvlJc w:val="left"/>
      <w:pPr>
        <w:tabs>
          <w:tab w:val="num" w:pos="397"/>
        </w:tabs>
        <w:ind w:left="397" w:hanging="397"/>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E24423"/>
    <w:multiLevelType w:val="multilevel"/>
    <w:tmpl w:val="5E22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2C0D51"/>
    <w:multiLevelType w:val="singleLevel"/>
    <w:tmpl w:val="ED6027D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E40F45"/>
    <w:multiLevelType w:val="hybridMultilevel"/>
    <w:tmpl w:val="1BA61B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F560D60"/>
    <w:multiLevelType w:val="hybridMultilevel"/>
    <w:tmpl w:val="954AA05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3FB67B70"/>
    <w:multiLevelType w:val="hybridMultilevel"/>
    <w:tmpl w:val="B4BAE5A6"/>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5" w15:restartNumberingAfterBreak="0">
    <w:nsid w:val="409D76EF"/>
    <w:multiLevelType w:val="hybridMultilevel"/>
    <w:tmpl w:val="12B619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3530A45"/>
    <w:multiLevelType w:val="hybridMultilevel"/>
    <w:tmpl w:val="424603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05B71D5"/>
    <w:multiLevelType w:val="hybridMultilevel"/>
    <w:tmpl w:val="DB6422D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621053D"/>
    <w:multiLevelType w:val="multilevel"/>
    <w:tmpl w:val="5E8E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D3116"/>
    <w:multiLevelType w:val="multilevel"/>
    <w:tmpl w:val="F558B684"/>
    <w:lvl w:ilvl="0">
      <w:start w:val="1"/>
      <w:numFmt w:val="bullet"/>
      <w:pStyle w:val="BulletPoints"/>
      <w:lvlText w:val=""/>
      <w:lvlJc w:val="left"/>
      <w:pPr>
        <w:tabs>
          <w:tab w:val="num" w:pos="720"/>
        </w:tabs>
        <w:ind w:left="720" w:hanging="72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361"/>
        </w:tabs>
        <w:ind w:left="1361" w:hanging="641"/>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928"/>
        </w:tabs>
        <w:ind w:left="1928"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95"/>
        </w:tabs>
        <w:ind w:left="2495" w:hanging="567"/>
      </w:pPr>
      <w:rPr>
        <w:rFonts w:ascii="Symbol" w:hAnsi="Symbol" w:hint="default"/>
        <w:b w:val="0"/>
        <w:i w:val="0"/>
        <w:sz w:val="16"/>
      </w:rPr>
    </w:lvl>
    <w:lvl w:ilvl="4">
      <w:start w:val="1"/>
      <w:numFmt w:val="bullet"/>
      <w:lvlText w:val="o"/>
      <w:lvlJc w:val="left"/>
      <w:pPr>
        <w:tabs>
          <w:tab w:val="num" w:pos="7200"/>
        </w:tabs>
        <w:ind w:left="7200" w:hanging="360"/>
      </w:pPr>
      <w:rPr>
        <w:rFonts w:ascii="Courier New" w:hAnsi="Courier New" w:hint="default"/>
      </w:rPr>
    </w:lvl>
    <w:lvl w:ilvl="5">
      <w:start w:val="1"/>
      <w:numFmt w:val="bullet"/>
      <w:lvlText w:val=""/>
      <w:lvlJc w:val="left"/>
      <w:pPr>
        <w:tabs>
          <w:tab w:val="num" w:pos="7920"/>
        </w:tabs>
        <w:ind w:left="7920" w:hanging="360"/>
      </w:pPr>
      <w:rPr>
        <w:rFonts w:ascii="Wingdings" w:hAnsi="Wingdings" w:hint="default"/>
      </w:rPr>
    </w:lvl>
    <w:lvl w:ilvl="6">
      <w:start w:val="1"/>
      <w:numFmt w:val="bullet"/>
      <w:lvlText w:val=""/>
      <w:lvlJc w:val="left"/>
      <w:pPr>
        <w:tabs>
          <w:tab w:val="num" w:pos="8640"/>
        </w:tabs>
        <w:ind w:left="8640" w:hanging="360"/>
      </w:pPr>
      <w:rPr>
        <w:rFonts w:ascii="Symbol" w:hAnsi="Symbol" w:hint="default"/>
      </w:rPr>
    </w:lvl>
    <w:lvl w:ilvl="7">
      <w:start w:val="1"/>
      <w:numFmt w:val="bullet"/>
      <w:lvlText w:val="o"/>
      <w:lvlJc w:val="left"/>
      <w:pPr>
        <w:tabs>
          <w:tab w:val="num" w:pos="9360"/>
        </w:tabs>
        <w:ind w:left="9360" w:hanging="360"/>
      </w:pPr>
      <w:rPr>
        <w:rFonts w:ascii="Courier New" w:hAnsi="Courier New" w:hint="default"/>
      </w:rPr>
    </w:lvl>
    <w:lvl w:ilvl="8">
      <w:start w:val="1"/>
      <w:numFmt w:val="bullet"/>
      <w:lvlText w:val=""/>
      <w:lvlJc w:val="left"/>
      <w:pPr>
        <w:tabs>
          <w:tab w:val="num" w:pos="10080"/>
        </w:tabs>
        <w:ind w:left="10080" w:hanging="360"/>
      </w:pPr>
      <w:rPr>
        <w:rFonts w:ascii="Wingdings" w:hAnsi="Wingdings" w:hint="default"/>
      </w:rPr>
    </w:lvl>
  </w:abstractNum>
  <w:abstractNum w:abstractNumId="20" w15:restartNumberingAfterBreak="0">
    <w:nsid w:val="5AAD6ECE"/>
    <w:multiLevelType w:val="hybridMultilevel"/>
    <w:tmpl w:val="35D0DF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F4818AE"/>
    <w:multiLevelType w:val="singleLevel"/>
    <w:tmpl w:val="B854F092"/>
    <w:lvl w:ilvl="0">
      <w:start w:val="1"/>
      <w:numFmt w:val="bullet"/>
      <w:pStyle w:val="BulletText1"/>
      <w:lvlText w:val=""/>
      <w:lvlJc w:val="left"/>
      <w:pPr>
        <w:tabs>
          <w:tab w:val="num" w:pos="397"/>
        </w:tabs>
        <w:ind w:left="397" w:hanging="397"/>
      </w:pPr>
      <w:rPr>
        <w:rFonts w:ascii="Symbol" w:hAnsi="Symbol" w:hint="default"/>
        <w:color w:val="008080"/>
      </w:rPr>
    </w:lvl>
  </w:abstractNum>
  <w:abstractNum w:abstractNumId="22" w15:restartNumberingAfterBreak="0">
    <w:nsid w:val="62B6344E"/>
    <w:multiLevelType w:val="hybridMultilevel"/>
    <w:tmpl w:val="A1222A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4B840A0"/>
    <w:multiLevelType w:val="hybridMultilevel"/>
    <w:tmpl w:val="E46EF3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9984AD2"/>
    <w:multiLevelType w:val="hybridMultilevel"/>
    <w:tmpl w:val="3BA0F7D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6B765862"/>
    <w:multiLevelType w:val="hybridMultilevel"/>
    <w:tmpl w:val="FF98F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CD617DD"/>
    <w:multiLevelType w:val="hybridMultilevel"/>
    <w:tmpl w:val="CF64B9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FD34A53"/>
    <w:multiLevelType w:val="multilevel"/>
    <w:tmpl w:val="20D4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A94608"/>
    <w:multiLevelType w:val="multilevel"/>
    <w:tmpl w:val="C742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92A76"/>
    <w:multiLevelType w:val="hybridMultilevel"/>
    <w:tmpl w:val="7A741F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3DB5B41"/>
    <w:multiLevelType w:val="hybridMultilevel"/>
    <w:tmpl w:val="0FAEE5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75934F9B"/>
    <w:multiLevelType w:val="multilevel"/>
    <w:tmpl w:val="6CF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530C3B"/>
    <w:multiLevelType w:val="multilevel"/>
    <w:tmpl w:val="DDBA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9A4F9C"/>
    <w:multiLevelType w:val="multilevel"/>
    <w:tmpl w:val="BF0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B56409"/>
    <w:multiLevelType w:val="multilevel"/>
    <w:tmpl w:val="0AEA1B48"/>
    <w:lvl w:ilvl="0">
      <w:start w:val="1"/>
      <w:numFmt w:val="none"/>
      <w:lvlText w:val=""/>
      <w:legacy w:legacy="1" w:legacySpace="0" w:legacyIndent="0"/>
      <w:lvlJc w:val="left"/>
    </w:lvl>
    <w:lvl w:ilvl="1">
      <w:start w:val="1"/>
      <w:numFmt w:val="decimal"/>
      <w:lvlText w:val="%2."/>
      <w:lvlJc w:val="left"/>
      <w:pPr>
        <w:tabs>
          <w:tab w:val="num" w:pos="360"/>
        </w:tabs>
        <w:ind w:left="360" w:hanging="360"/>
      </w:pPr>
      <w:rPr>
        <w:rFonts w:hint="default"/>
      </w:rPr>
    </w:lvl>
    <w:lvl w:ilvl="2">
      <w:start w:val="1"/>
      <w:numFmt w:val="lowerLetter"/>
      <w:lvlText w:val="%3"/>
      <w:legacy w:legacy="1" w:legacySpace="0" w:legacyIndent="709"/>
      <w:lvlJc w:val="left"/>
      <w:pPr>
        <w:ind w:left="709" w:hanging="709"/>
      </w:pPr>
    </w:lvl>
    <w:lvl w:ilvl="3">
      <w:start w:val="1"/>
      <w:numFmt w:val="lowerRoman"/>
      <w:lvlText w:val="%4"/>
      <w:legacy w:legacy="1" w:legacySpace="0" w:legacyIndent="709"/>
      <w:lvlJc w:val="left"/>
      <w:pPr>
        <w:ind w:left="1418" w:hanging="709"/>
      </w:pPr>
    </w:lvl>
    <w:lvl w:ilvl="4">
      <w:start w:val="1"/>
      <w:numFmt w:val="none"/>
      <w:lvlText w:val="·"/>
      <w:legacy w:legacy="1" w:legacySpace="0" w:legacyIndent="709"/>
      <w:lvlJc w:val="left"/>
      <w:pPr>
        <w:ind w:left="2127" w:hanging="709"/>
      </w:pPr>
    </w:lvl>
    <w:lvl w:ilvl="5">
      <w:start w:val="1"/>
      <w:numFmt w:val="none"/>
      <w:lvlText w:val="-"/>
      <w:legacy w:legacy="1" w:legacySpace="0" w:legacyIndent="709"/>
      <w:lvlJc w:val="left"/>
      <w:pPr>
        <w:ind w:left="2836" w:hanging="709"/>
      </w:pPr>
    </w:lvl>
    <w:lvl w:ilvl="6">
      <w:start w:val="1"/>
      <w:numFmt w:val="none"/>
      <w:lvlText w:val=""/>
      <w:legacy w:legacy="1" w:legacySpace="0" w:legacyIndent="709"/>
      <w:lvlJc w:val="left"/>
      <w:pPr>
        <w:ind w:left="3545" w:hanging="709"/>
      </w:pPr>
    </w:lvl>
    <w:lvl w:ilvl="7">
      <w:start w:val="1"/>
      <w:numFmt w:val="none"/>
      <w:lvlText w:val=""/>
      <w:legacy w:legacy="1" w:legacySpace="0" w:legacyIndent="709"/>
      <w:lvlJc w:val="left"/>
      <w:pPr>
        <w:ind w:left="4254" w:hanging="709"/>
      </w:pPr>
    </w:lvl>
    <w:lvl w:ilvl="8">
      <w:start w:val="1"/>
      <w:numFmt w:val="none"/>
      <w:lvlText w:val=""/>
      <w:legacy w:legacy="1" w:legacySpace="0" w:legacyIndent="709"/>
      <w:lvlJc w:val="left"/>
      <w:pPr>
        <w:ind w:left="4963" w:hanging="709"/>
      </w:pPr>
    </w:lvl>
  </w:abstractNum>
  <w:abstractNum w:abstractNumId="35" w15:restartNumberingAfterBreak="0">
    <w:nsid w:val="7DD81B5D"/>
    <w:multiLevelType w:val="hybridMultilevel"/>
    <w:tmpl w:val="F54AE0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628393281">
    <w:abstractNumId w:val="21"/>
  </w:num>
  <w:num w:numId="2" w16cid:durableId="1127118208">
    <w:abstractNumId w:val="21"/>
  </w:num>
  <w:num w:numId="3" w16cid:durableId="722751457">
    <w:abstractNumId w:val="0"/>
    <w:lvlOverride w:ilvl="0">
      <w:lvl w:ilvl="0">
        <w:start w:val="1"/>
        <w:numFmt w:val="bullet"/>
        <w:lvlText w:val="-"/>
        <w:legacy w:legacy="1" w:legacySpace="0" w:legacyIndent="187"/>
        <w:lvlJc w:val="left"/>
        <w:pPr>
          <w:ind w:left="360" w:hanging="187"/>
        </w:pPr>
        <w:rPr>
          <w:rFonts w:ascii="Times New Roman" w:hAnsi="Times New Roman" w:hint="default"/>
          <w:sz w:val="24"/>
        </w:rPr>
      </w:lvl>
    </w:lvlOverride>
  </w:num>
  <w:num w:numId="4" w16cid:durableId="1789665280">
    <w:abstractNumId w:val="11"/>
  </w:num>
  <w:num w:numId="5" w16cid:durableId="1565530632">
    <w:abstractNumId w:val="0"/>
    <w:lvlOverride w:ilvl="0">
      <w:lvl w:ilvl="0">
        <w:start w:val="1"/>
        <w:numFmt w:val="bullet"/>
        <w:lvlText w:val="·"/>
        <w:legacy w:legacy="1" w:legacySpace="0" w:legacyIndent="187"/>
        <w:lvlJc w:val="left"/>
        <w:pPr>
          <w:ind w:left="360" w:hanging="187"/>
        </w:pPr>
        <w:rPr>
          <w:rFonts w:ascii="Symbol" w:hAnsi="Symbol" w:hint="default"/>
          <w:sz w:val="20"/>
        </w:rPr>
      </w:lvl>
    </w:lvlOverride>
  </w:num>
  <w:num w:numId="6" w16cid:durableId="1132139141">
    <w:abstractNumId w:val="0"/>
    <w:lvlOverride w:ilvl="0">
      <w:lvl w:ilvl="0">
        <w:start w:val="1"/>
        <w:numFmt w:val="bullet"/>
        <w:lvlText w:val="·"/>
        <w:legacy w:legacy="1" w:legacySpace="0" w:legacyIndent="187"/>
        <w:lvlJc w:val="left"/>
        <w:pPr>
          <w:ind w:left="360" w:hanging="187"/>
        </w:pPr>
        <w:rPr>
          <w:rFonts w:ascii="Arial" w:hAnsi="Arial" w:hint="default"/>
          <w:sz w:val="20"/>
        </w:rPr>
      </w:lvl>
    </w:lvlOverride>
  </w:num>
  <w:num w:numId="7" w16cid:durableId="978002402">
    <w:abstractNumId w:val="3"/>
  </w:num>
  <w:num w:numId="8" w16cid:durableId="1597327647">
    <w:abstractNumId w:val="9"/>
  </w:num>
  <w:num w:numId="9" w16cid:durableId="39285226">
    <w:abstractNumId w:val="9"/>
  </w:num>
  <w:num w:numId="10" w16cid:durableId="616184784">
    <w:abstractNumId w:val="19"/>
  </w:num>
  <w:num w:numId="11" w16cid:durableId="1418206731">
    <w:abstractNumId w:val="34"/>
  </w:num>
  <w:num w:numId="12" w16cid:durableId="1120684704">
    <w:abstractNumId w:val="19"/>
  </w:num>
  <w:num w:numId="13" w16cid:durableId="105854689">
    <w:abstractNumId w:val="19"/>
  </w:num>
  <w:num w:numId="14" w16cid:durableId="1345746380">
    <w:abstractNumId w:val="24"/>
  </w:num>
  <w:num w:numId="15" w16cid:durableId="1291666831">
    <w:abstractNumId w:val="14"/>
  </w:num>
  <w:num w:numId="16" w16cid:durableId="1933005826">
    <w:abstractNumId w:val="19"/>
  </w:num>
  <w:num w:numId="17" w16cid:durableId="389691328">
    <w:abstractNumId w:val="1"/>
  </w:num>
  <w:num w:numId="18" w16cid:durableId="2071490570">
    <w:abstractNumId w:val="30"/>
  </w:num>
  <w:num w:numId="19" w16cid:durableId="894854224">
    <w:abstractNumId w:val="7"/>
  </w:num>
  <w:num w:numId="20" w16cid:durableId="1534922000">
    <w:abstractNumId w:val="15"/>
  </w:num>
  <w:num w:numId="21" w16cid:durableId="520358308">
    <w:abstractNumId w:val="35"/>
  </w:num>
  <w:num w:numId="22" w16cid:durableId="431126850">
    <w:abstractNumId w:val="6"/>
  </w:num>
  <w:num w:numId="23" w16cid:durableId="2085637026">
    <w:abstractNumId w:val="16"/>
  </w:num>
  <w:num w:numId="24" w16cid:durableId="1062563926">
    <w:abstractNumId w:val="18"/>
  </w:num>
  <w:num w:numId="25" w16cid:durableId="827752353">
    <w:abstractNumId w:val="27"/>
  </w:num>
  <w:num w:numId="26" w16cid:durableId="1069116133">
    <w:abstractNumId w:val="2"/>
  </w:num>
  <w:num w:numId="27" w16cid:durableId="1569999195">
    <w:abstractNumId w:val="22"/>
  </w:num>
  <w:num w:numId="28" w16cid:durableId="1318460553">
    <w:abstractNumId w:val="31"/>
  </w:num>
  <w:num w:numId="29" w16cid:durableId="419958990">
    <w:abstractNumId w:val="28"/>
  </w:num>
  <w:num w:numId="30" w16cid:durableId="602962047">
    <w:abstractNumId w:val="29"/>
  </w:num>
  <w:num w:numId="31" w16cid:durableId="1560823724">
    <w:abstractNumId w:val="10"/>
  </w:num>
  <w:num w:numId="32" w16cid:durableId="1577671453">
    <w:abstractNumId w:val="8"/>
  </w:num>
  <w:num w:numId="33" w16cid:durableId="872420059">
    <w:abstractNumId w:val="4"/>
  </w:num>
  <w:num w:numId="34" w16cid:durableId="1678732197">
    <w:abstractNumId w:val="25"/>
  </w:num>
  <w:num w:numId="35" w16cid:durableId="1292590695">
    <w:abstractNumId w:val="17"/>
  </w:num>
  <w:num w:numId="36" w16cid:durableId="937102997">
    <w:abstractNumId w:val="5"/>
  </w:num>
  <w:num w:numId="37" w16cid:durableId="858205856">
    <w:abstractNumId w:val="23"/>
  </w:num>
  <w:num w:numId="38" w16cid:durableId="407311540">
    <w:abstractNumId w:val="32"/>
  </w:num>
  <w:num w:numId="39" w16cid:durableId="897211052">
    <w:abstractNumId w:val="33"/>
  </w:num>
  <w:num w:numId="40" w16cid:durableId="1333607826">
    <w:abstractNumId w:val="12"/>
  </w:num>
  <w:num w:numId="41" w16cid:durableId="1187868534">
    <w:abstractNumId w:val="20"/>
  </w:num>
  <w:num w:numId="42" w16cid:durableId="762724267">
    <w:abstractNumId w:val="13"/>
  </w:num>
  <w:num w:numId="43" w16cid:durableId="6863663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zNDUzMTY0MjEyNzBX0lEKTi0uzszPAymwrAUAZHPU9SwAAAA="/>
    <w:docVar w:name="dvFooter" w:val="2641964v1"/>
    <w:docVar w:name="paperpile-doc-id" w:val="L638Z985O376S199"/>
    <w:docVar w:name="paperpile-doc-name" w:val="Policy Brief Template_.docx"/>
  </w:docVars>
  <w:rsids>
    <w:rsidRoot w:val="00DD496C"/>
    <w:rsid w:val="00000712"/>
    <w:rsid w:val="00006F04"/>
    <w:rsid w:val="000222DB"/>
    <w:rsid w:val="00030BC4"/>
    <w:rsid w:val="00036305"/>
    <w:rsid w:val="0004325F"/>
    <w:rsid w:val="00043E86"/>
    <w:rsid w:val="00045331"/>
    <w:rsid w:val="00047CA5"/>
    <w:rsid w:val="00055EF1"/>
    <w:rsid w:val="00057DE3"/>
    <w:rsid w:val="00070DD4"/>
    <w:rsid w:val="00083575"/>
    <w:rsid w:val="00090811"/>
    <w:rsid w:val="00092CC5"/>
    <w:rsid w:val="00093F56"/>
    <w:rsid w:val="00096C50"/>
    <w:rsid w:val="000A2C65"/>
    <w:rsid w:val="000B1186"/>
    <w:rsid w:val="000B75F8"/>
    <w:rsid w:val="000C6855"/>
    <w:rsid w:val="000E3CCB"/>
    <w:rsid w:val="000E4059"/>
    <w:rsid w:val="00102E2E"/>
    <w:rsid w:val="001161FF"/>
    <w:rsid w:val="00117A0D"/>
    <w:rsid w:val="00127EF5"/>
    <w:rsid w:val="00131BA0"/>
    <w:rsid w:val="00135366"/>
    <w:rsid w:val="00154B13"/>
    <w:rsid w:val="00165486"/>
    <w:rsid w:val="00197303"/>
    <w:rsid w:val="001C3A5C"/>
    <w:rsid w:val="001D459D"/>
    <w:rsid w:val="001F200D"/>
    <w:rsid w:val="00213EB4"/>
    <w:rsid w:val="0024108F"/>
    <w:rsid w:val="0024202D"/>
    <w:rsid w:val="00244A5F"/>
    <w:rsid w:val="002505FD"/>
    <w:rsid w:val="00260726"/>
    <w:rsid w:val="0027709C"/>
    <w:rsid w:val="00283F5D"/>
    <w:rsid w:val="002B040B"/>
    <w:rsid w:val="002B30C9"/>
    <w:rsid w:val="002C70F6"/>
    <w:rsid w:val="002C7FC3"/>
    <w:rsid w:val="002D1DBA"/>
    <w:rsid w:val="002D4231"/>
    <w:rsid w:val="00306641"/>
    <w:rsid w:val="003139A2"/>
    <w:rsid w:val="00326B32"/>
    <w:rsid w:val="003275F9"/>
    <w:rsid w:val="00334000"/>
    <w:rsid w:val="00340EF9"/>
    <w:rsid w:val="00347848"/>
    <w:rsid w:val="0035211C"/>
    <w:rsid w:val="00365C27"/>
    <w:rsid w:val="00370301"/>
    <w:rsid w:val="00371B93"/>
    <w:rsid w:val="00383BCD"/>
    <w:rsid w:val="00386C7D"/>
    <w:rsid w:val="003879C6"/>
    <w:rsid w:val="00390607"/>
    <w:rsid w:val="0039436B"/>
    <w:rsid w:val="003A53C4"/>
    <w:rsid w:val="003D6913"/>
    <w:rsid w:val="003F2A1D"/>
    <w:rsid w:val="00427BBB"/>
    <w:rsid w:val="00433D6B"/>
    <w:rsid w:val="00435B05"/>
    <w:rsid w:val="0043715A"/>
    <w:rsid w:val="004413A5"/>
    <w:rsid w:val="00450B0C"/>
    <w:rsid w:val="004535ED"/>
    <w:rsid w:val="0046358C"/>
    <w:rsid w:val="00473FD8"/>
    <w:rsid w:val="004806D7"/>
    <w:rsid w:val="00484853"/>
    <w:rsid w:val="0049592A"/>
    <w:rsid w:val="0049664E"/>
    <w:rsid w:val="00497F44"/>
    <w:rsid w:val="004B7395"/>
    <w:rsid w:val="004C10F3"/>
    <w:rsid w:val="004C2181"/>
    <w:rsid w:val="004C5210"/>
    <w:rsid w:val="004D0DD7"/>
    <w:rsid w:val="004F0674"/>
    <w:rsid w:val="004F283E"/>
    <w:rsid w:val="00504226"/>
    <w:rsid w:val="00511A84"/>
    <w:rsid w:val="005143D5"/>
    <w:rsid w:val="0054302F"/>
    <w:rsid w:val="00560053"/>
    <w:rsid w:val="005623E3"/>
    <w:rsid w:val="00581AD2"/>
    <w:rsid w:val="00594907"/>
    <w:rsid w:val="00594E0D"/>
    <w:rsid w:val="005D18DF"/>
    <w:rsid w:val="005D37FC"/>
    <w:rsid w:val="005D4958"/>
    <w:rsid w:val="005F66B9"/>
    <w:rsid w:val="0060160A"/>
    <w:rsid w:val="006344A5"/>
    <w:rsid w:val="00634917"/>
    <w:rsid w:val="006356E9"/>
    <w:rsid w:val="00642B97"/>
    <w:rsid w:val="00676327"/>
    <w:rsid w:val="00677C77"/>
    <w:rsid w:val="006859B9"/>
    <w:rsid w:val="00685A13"/>
    <w:rsid w:val="006A03B1"/>
    <w:rsid w:val="006A1EA5"/>
    <w:rsid w:val="006B1CA0"/>
    <w:rsid w:val="006D384D"/>
    <w:rsid w:val="006E63B2"/>
    <w:rsid w:val="006F3B38"/>
    <w:rsid w:val="00701424"/>
    <w:rsid w:val="00703A00"/>
    <w:rsid w:val="00716971"/>
    <w:rsid w:val="00727E37"/>
    <w:rsid w:val="00745A29"/>
    <w:rsid w:val="00745C41"/>
    <w:rsid w:val="00757E32"/>
    <w:rsid w:val="00761556"/>
    <w:rsid w:val="00774CA4"/>
    <w:rsid w:val="00785559"/>
    <w:rsid w:val="007A110D"/>
    <w:rsid w:val="007A36B1"/>
    <w:rsid w:val="007D0208"/>
    <w:rsid w:val="007E4100"/>
    <w:rsid w:val="007F49F4"/>
    <w:rsid w:val="007F7672"/>
    <w:rsid w:val="008016E1"/>
    <w:rsid w:val="00817348"/>
    <w:rsid w:val="00831C12"/>
    <w:rsid w:val="00862AEC"/>
    <w:rsid w:val="00891FD1"/>
    <w:rsid w:val="008A0EE3"/>
    <w:rsid w:val="008C3966"/>
    <w:rsid w:val="008F362D"/>
    <w:rsid w:val="00902EA0"/>
    <w:rsid w:val="00921C97"/>
    <w:rsid w:val="0093277B"/>
    <w:rsid w:val="00933846"/>
    <w:rsid w:val="00943751"/>
    <w:rsid w:val="0094536D"/>
    <w:rsid w:val="009618AF"/>
    <w:rsid w:val="00980E39"/>
    <w:rsid w:val="00985EA7"/>
    <w:rsid w:val="009912BB"/>
    <w:rsid w:val="00992E76"/>
    <w:rsid w:val="00994FB7"/>
    <w:rsid w:val="00997ED7"/>
    <w:rsid w:val="009A62E4"/>
    <w:rsid w:val="009A69CC"/>
    <w:rsid w:val="009B098C"/>
    <w:rsid w:val="009B7804"/>
    <w:rsid w:val="009E4D13"/>
    <w:rsid w:val="009F2C1A"/>
    <w:rsid w:val="00A0273B"/>
    <w:rsid w:val="00A052F7"/>
    <w:rsid w:val="00A06043"/>
    <w:rsid w:val="00A13FA2"/>
    <w:rsid w:val="00A21221"/>
    <w:rsid w:val="00A44B66"/>
    <w:rsid w:val="00A477AD"/>
    <w:rsid w:val="00A62056"/>
    <w:rsid w:val="00A66F55"/>
    <w:rsid w:val="00A770F8"/>
    <w:rsid w:val="00A91290"/>
    <w:rsid w:val="00A96BBA"/>
    <w:rsid w:val="00AA47A0"/>
    <w:rsid w:val="00AA704D"/>
    <w:rsid w:val="00AB2363"/>
    <w:rsid w:val="00AB36B0"/>
    <w:rsid w:val="00AC3B1B"/>
    <w:rsid w:val="00AC4EA9"/>
    <w:rsid w:val="00AC79D2"/>
    <w:rsid w:val="00AE14F6"/>
    <w:rsid w:val="00AE3D26"/>
    <w:rsid w:val="00AE7F92"/>
    <w:rsid w:val="00AF3273"/>
    <w:rsid w:val="00B106D7"/>
    <w:rsid w:val="00B2151E"/>
    <w:rsid w:val="00B2230B"/>
    <w:rsid w:val="00B3724E"/>
    <w:rsid w:val="00B5590D"/>
    <w:rsid w:val="00B657E6"/>
    <w:rsid w:val="00B66FEE"/>
    <w:rsid w:val="00B704AF"/>
    <w:rsid w:val="00B80B23"/>
    <w:rsid w:val="00B90C33"/>
    <w:rsid w:val="00BB0314"/>
    <w:rsid w:val="00BC6007"/>
    <w:rsid w:val="00C035A9"/>
    <w:rsid w:val="00C07AC7"/>
    <w:rsid w:val="00C46F1D"/>
    <w:rsid w:val="00C50DB9"/>
    <w:rsid w:val="00C60DCC"/>
    <w:rsid w:val="00C7068B"/>
    <w:rsid w:val="00C84BBF"/>
    <w:rsid w:val="00C90579"/>
    <w:rsid w:val="00C96608"/>
    <w:rsid w:val="00CA77F6"/>
    <w:rsid w:val="00CB55DE"/>
    <w:rsid w:val="00CC57D2"/>
    <w:rsid w:val="00CD7871"/>
    <w:rsid w:val="00CE2E75"/>
    <w:rsid w:val="00CE656F"/>
    <w:rsid w:val="00CE7AE9"/>
    <w:rsid w:val="00CF05B4"/>
    <w:rsid w:val="00D02F72"/>
    <w:rsid w:val="00D0554C"/>
    <w:rsid w:val="00D47C34"/>
    <w:rsid w:val="00D6312A"/>
    <w:rsid w:val="00D97CE1"/>
    <w:rsid w:val="00DB73AC"/>
    <w:rsid w:val="00DC7314"/>
    <w:rsid w:val="00DD2291"/>
    <w:rsid w:val="00DD496C"/>
    <w:rsid w:val="00DE19B2"/>
    <w:rsid w:val="00E1343C"/>
    <w:rsid w:val="00E14346"/>
    <w:rsid w:val="00E15336"/>
    <w:rsid w:val="00E157BB"/>
    <w:rsid w:val="00E270B9"/>
    <w:rsid w:val="00E527BC"/>
    <w:rsid w:val="00E66821"/>
    <w:rsid w:val="00E75BAA"/>
    <w:rsid w:val="00E809E6"/>
    <w:rsid w:val="00EA1FA9"/>
    <w:rsid w:val="00EA6E1E"/>
    <w:rsid w:val="00EB1A13"/>
    <w:rsid w:val="00EB6B3E"/>
    <w:rsid w:val="00EC1FDB"/>
    <w:rsid w:val="00ED4358"/>
    <w:rsid w:val="00F07961"/>
    <w:rsid w:val="00F20EC1"/>
    <w:rsid w:val="00F3682C"/>
    <w:rsid w:val="00F375C1"/>
    <w:rsid w:val="00F41734"/>
    <w:rsid w:val="00F42E64"/>
    <w:rsid w:val="00F55AC3"/>
    <w:rsid w:val="00F55F33"/>
    <w:rsid w:val="00F57A3C"/>
    <w:rsid w:val="00F8201F"/>
    <w:rsid w:val="00F91137"/>
    <w:rsid w:val="00FA621D"/>
    <w:rsid w:val="00FB2AB3"/>
    <w:rsid w:val="00FC5D02"/>
    <w:rsid w:val="00FD11E1"/>
    <w:rsid w:val="00FF0A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93454"/>
  <w15:docId w15:val="{19863F28-C8CC-423E-8284-8FB9EA9C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lang w:eastAsia="en-US"/>
    </w:rPr>
  </w:style>
  <w:style w:type="paragraph" w:styleId="Heading1">
    <w:name w:val="heading 1"/>
    <w:aliases w:val="Part"/>
    <w:basedOn w:val="Normal"/>
    <w:next w:val="Heading2"/>
    <w:qFormat/>
    <w:pPr>
      <w:spacing w:after="240"/>
      <w:jc w:val="center"/>
      <w:outlineLvl w:val="0"/>
    </w:pPr>
    <w:rPr>
      <w:rFonts w:ascii="Arial" w:hAnsi="Arial"/>
      <w:b/>
      <w:color w:val="5F5F5F"/>
      <w:sz w:val="32"/>
    </w:rPr>
  </w:style>
  <w:style w:type="paragraph" w:styleId="Heading2">
    <w:name w:val="heading 2"/>
    <w:aliases w:val="Chapter Title"/>
    <w:basedOn w:val="Heading4"/>
    <w:next w:val="Heading4"/>
    <w:qFormat/>
    <w:rsid w:val="00F20EC1"/>
    <w:pPr>
      <w:outlineLvl w:val="1"/>
    </w:pPr>
  </w:style>
  <w:style w:type="paragraph" w:styleId="Heading3">
    <w:name w:val="heading 3"/>
    <w:aliases w:val="Section"/>
    <w:basedOn w:val="Normal"/>
    <w:next w:val="Heading4"/>
    <w:qFormat/>
    <w:pPr>
      <w:spacing w:after="240"/>
      <w:jc w:val="center"/>
      <w:outlineLvl w:val="2"/>
    </w:pPr>
    <w:rPr>
      <w:rFonts w:ascii="Arial" w:hAnsi="Arial"/>
      <w:b/>
      <w:color w:val="006600"/>
      <w:sz w:val="32"/>
    </w:rPr>
  </w:style>
  <w:style w:type="paragraph" w:styleId="Heading4">
    <w:name w:val="heading 4"/>
    <w:aliases w:val="Map Title"/>
    <w:basedOn w:val="Normal"/>
    <w:next w:val="Normal"/>
    <w:qFormat/>
    <w:pPr>
      <w:spacing w:after="240"/>
      <w:outlineLvl w:val="3"/>
    </w:pPr>
    <w:rPr>
      <w:rFonts w:ascii="Arial" w:hAnsi="Arial"/>
      <w:b/>
      <w:color w:val="006600"/>
      <w:sz w:val="32"/>
    </w:rPr>
  </w:style>
  <w:style w:type="paragraph" w:styleId="Heading5">
    <w:name w:val="heading 5"/>
    <w:aliases w:val="Block Label"/>
    <w:basedOn w:val="Normal"/>
    <w:next w:val="Normal"/>
    <w:qFormat/>
    <w:pPr>
      <w:outlineLvl w:val="4"/>
    </w:pPr>
    <w:rPr>
      <w:rFonts w:ascii="Arial" w:hAnsi="Arial"/>
      <w:b/>
      <w:color w:val="000080"/>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BlockLine">
    <w:name w:val="Block Line"/>
    <w:basedOn w:val="Normal"/>
    <w:next w:val="Normal"/>
    <w:pPr>
      <w:pBdr>
        <w:top w:val="single" w:sz="6" w:space="1" w:color="008080"/>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2"/>
      </w:numPr>
      <w:tabs>
        <w:tab w:val="clear" w:pos="397"/>
      </w:tabs>
    </w:pPr>
  </w:style>
  <w:style w:type="paragraph" w:customStyle="1" w:styleId="BulletText2">
    <w:name w:val="Bullet Text 2"/>
    <w:basedOn w:val="BulletText1"/>
    <w:pPr>
      <w:numPr>
        <w:numId w:val="9"/>
      </w:numPr>
      <w:spacing w:before="120"/>
    </w:pPr>
  </w:style>
  <w:style w:type="paragraph" w:customStyle="1" w:styleId="ContinuedOnNextPa">
    <w:name w:val="Continued On Next Pa"/>
    <w:basedOn w:val="Normal"/>
    <w:next w:val="Normal"/>
    <w:pPr>
      <w:pBdr>
        <w:top w:val="single" w:sz="6" w:space="1" w:color="008080"/>
        <w:between w:val="single" w:sz="6" w:space="1" w:color="auto"/>
      </w:pBdr>
      <w:ind w:left="1700"/>
      <w:jc w:val="right"/>
    </w:pPr>
    <w:rPr>
      <w:rFonts w:ascii="Times New Roman" w:hAnsi="Times New Roman"/>
      <w:i/>
      <w:sz w:val="20"/>
    </w:rPr>
  </w:style>
  <w:style w:type="paragraph" w:customStyle="1" w:styleId="ContinuedTableLabe">
    <w:name w:val="Continued Table Labe"/>
    <w:basedOn w:val="Normal"/>
    <w:rPr>
      <w:rFonts w:ascii="Arial" w:hAnsi="Arial"/>
      <w:color w:val="000080"/>
    </w:rPr>
  </w:style>
  <w:style w:type="paragraph" w:customStyle="1" w:styleId="MapTitleContinued">
    <w:name w:val="Map Title. Continued"/>
    <w:basedOn w:val="Normal"/>
    <w:pPr>
      <w:spacing w:after="240"/>
    </w:pPr>
    <w:rPr>
      <w:rFonts w:ascii="Arial" w:hAnsi="Arial"/>
      <w:b/>
      <w:color w:val="006600"/>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pPr>
      <w:spacing w:before="20" w:after="20"/>
    </w:pPr>
  </w:style>
  <w:style w:type="paragraph" w:customStyle="1" w:styleId="NoteText">
    <w:name w:val="Note Text"/>
    <w:basedOn w:val="BlockText"/>
  </w:style>
  <w:style w:type="paragraph" w:customStyle="1" w:styleId="TableHeaderText">
    <w:name w:val="Table Header Text"/>
    <w:basedOn w:val="TableText"/>
    <w:pPr>
      <w:spacing w:before="60" w:after="60"/>
      <w:jc w:val="center"/>
    </w:pPr>
    <w:rPr>
      <w:b/>
      <w:color w:val="006666"/>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rFonts w:ascii="Tahoma" w:hAnsi="Tahoma"/>
      <w:color w:val="3333CC"/>
      <w:sz w:val="22"/>
      <w:u w:val="single"/>
    </w:rPr>
  </w:style>
  <w:style w:type="paragraph" w:customStyle="1" w:styleId="BulletText3">
    <w:name w:val="Bullet Text 3"/>
    <w:basedOn w:val="BulletText2"/>
    <w:pPr>
      <w:numPr>
        <w:numId w:val="7"/>
      </w:numPr>
      <w:spacing w:before="60"/>
    </w:pPr>
  </w:style>
  <w:style w:type="character" w:styleId="FollowedHyperlink">
    <w:name w:val="FollowedHyperlink"/>
    <w:rPr>
      <w:rFonts w:ascii="Tahoma" w:hAnsi="Tahoma"/>
      <w:color w:val="339966"/>
      <w:sz w:val="22"/>
      <w:u w:val="single"/>
    </w:rPr>
  </w:style>
  <w:style w:type="paragraph" w:customStyle="1" w:styleId="BulletPoints">
    <w:name w:val="Bullet Points"/>
    <w:basedOn w:val="Normal"/>
    <w:rsid w:val="00386C7D"/>
    <w:pPr>
      <w:numPr>
        <w:numId w:val="10"/>
      </w:numPr>
      <w:overflowPunct w:val="0"/>
      <w:autoSpaceDE w:val="0"/>
      <w:autoSpaceDN w:val="0"/>
      <w:adjustRightInd w:val="0"/>
      <w:spacing w:after="240"/>
      <w:jc w:val="both"/>
      <w:textAlignment w:val="baseline"/>
    </w:pPr>
    <w:rPr>
      <w:rFonts w:ascii="Arial" w:hAnsi="Arial"/>
      <w:sz w:val="24"/>
      <w:lang w:bidi="ar-DZ"/>
    </w:rPr>
  </w:style>
  <w:style w:type="paragraph" w:styleId="BalloonText">
    <w:name w:val="Balloon Text"/>
    <w:basedOn w:val="Normal"/>
    <w:link w:val="BalloonTextChar"/>
    <w:rsid w:val="0094536D"/>
    <w:rPr>
      <w:rFonts w:cs="Tahoma"/>
      <w:sz w:val="16"/>
      <w:szCs w:val="16"/>
    </w:rPr>
  </w:style>
  <w:style w:type="character" w:customStyle="1" w:styleId="BalloonTextChar">
    <w:name w:val="Balloon Text Char"/>
    <w:link w:val="BalloonText"/>
    <w:rsid w:val="0094536D"/>
    <w:rPr>
      <w:rFonts w:ascii="Tahoma" w:hAnsi="Tahoma" w:cs="Tahoma"/>
      <w:sz w:val="16"/>
      <w:szCs w:val="16"/>
      <w:lang w:eastAsia="en-US"/>
    </w:rPr>
  </w:style>
  <w:style w:type="character" w:customStyle="1" w:styleId="HeaderChar">
    <w:name w:val="Header Char"/>
    <w:link w:val="Header"/>
    <w:rsid w:val="004D0DD7"/>
    <w:rPr>
      <w:rFonts w:ascii="Tahoma" w:hAnsi="Tahoma"/>
      <w:sz w:val="22"/>
      <w:lang w:eastAsia="en-US"/>
    </w:rPr>
  </w:style>
  <w:style w:type="paragraph" w:styleId="Revision">
    <w:name w:val="Revision"/>
    <w:hidden/>
    <w:uiPriority w:val="99"/>
    <w:semiHidden/>
    <w:rsid w:val="004D0DD7"/>
    <w:rPr>
      <w:rFonts w:ascii="Tahoma" w:hAnsi="Tahoma"/>
      <w:sz w:val="22"/>
      <w:lang w:eastAsia="en-US"/>
    </w:rPr>
  </w:style>
  <w:style w:type="character" w:styleId="CommentReference">
    <w:name w:val="annotation reference"/>
    <w:rsid w:val="004D0DD7"/>
    <w:rPr>
      <w:sz w:val="16"/>
      <w:szCs w:val="16"/>
    </w:rPr>
  </w:style>
  <w:style w:type="paragraph" w:styleId="CommentText">
    <w:name w:val="annotation text"/>
    <w:basedOn w:val="Normal"/>
    <w:link w:val="CommentTextChar"/>
    <w:rsid w:val="004D0DD7"/>
    <w:rPr>
      <w:sz w:val="20"/>
    </w:rPr>
  </w:style>
  <w:style w:type="character" w:customStyle="1" w:styleId="CommentTextChar">
    <w:name w:val="Comment Text Char"/>
    <w:link w:val="CommentText"/>
    <w:rsid w:val="004D0DD7"/>
    <w:rPr>
      <w:rFonts w:ascii="Tahoma" w:hAnsi="Tahoma"/>
      <w:lang w:eastAsia="en-US"/>
    </w:rPr>
  </w:style>
  <w:style w:type="paragraph" w:styleId="CommentSubject">
    <w:name w:val="annotation subject"/>
    <w:basedOn w:val="CommentText"/>
    <w:next w:val="CommentText"/>
    <w:link w:val="CommentSubjectChar"/>
    <w:rsid w:val="004D0DD7"/>
    <w:rPr>
      <w:b/>
      <w:bCs/>
    </w:rPr>
  </w:style>
  <w:style w:type="character" w:customStyle="1" w:styleId="CommentSubjectChar">
    <w:name w:val="Comment Subject Char"/>
    <w:link w:val="CommentSubject"/>
    <w:rsid w:val="004D0DD7"/>
    <w:rPr>
      <w:rFonts w:ascii="Tahoma" w:hAnsi="Tahoma"/>
      <w:b/>
      <w:bCs/>
      <w:lang w:eastAsia="en-US"/>
    </w:rPr>
  </w:style>
  <w:style w:type="table" w:styleId="TableGrid">
    <w:name w:val="Table Grid"/>
    <w:basedOn w:val="TableNormal"/>
    <w:rsid w:val="00985E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7314"/>
    <w:rPr>
      <w:color w:val="605E5C"/>
      <w:shd w:val="clear" w:color="auto" w:fill="E1DFDD"/>
    </w:rPr>
  </w:style>
  <w:style w:type="character" w:customStyle="1" w:styleId="FooterChar">
    <w:name w:val="Footer Char"/>
    <w:basedOn w:val="DefaultParagraphFont"/>
    <w:link w:val="Footer"/>
    <w:uiPriority w:val="99"/>
    <w:rsid w:val="00F20EC1"/>
    <w:rPr>
      <w:rFonts w:ascii="Tahoma" w:hAnsi="Tahoma"/>
      <w:sz w:val="22"/>
      <w:lang w:eastAsia="en-US"/>
    </w:rPr>
  </w:style>
  <w:style w:type="paragraph" w:styleId="ListParagraph">
    <w:name w:val="List Paragraph"/>
    <w:basedOn w:val="Normal"/>
    <w:uiPriority w:val="34"/>
    <w:qFormat/>
    <w:rsid w:val="00CE7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hyperlink" Target="https://doi.org/10.3389/fclim.2022.1034765"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emf"/><Relationship Id="rId29" Type="http://schemas.openxmlformats.org/officeDocument/2006/relationships/hyperlink" Target="https://doi.org/10.4324/9780429279904-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hyperlink" Target="https://doi.org/10.1177/117718010800400210"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hyperlink" Target="https://doi.org/10.1111/apv.12060" TargetMode="Externa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yperlink" Target="https://doi.org/10.1007/s13753-015-006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eader" Target="header4.xml"/><Relationship Id="rId30" Type="http://schemas.openxmlformats.org/officeDocument/2006/relationships/hyperlink" Target="https://doi.org/10.1016/j.geoforum.2019.06.012"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FAT\template\Infomap.new.dot"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3545"/>
      </a:dk2>
      <a:lt2>
        <a:srgbClr val="726772"/>
      </a:lt2>
      <a:accent1>
        <a:srgbClr val="AD84C6"/>
      </a:accent1>
      <a:accent2>
        <a:srgbClr val="8784C7"/>
      </a:accent2>
      <a:accent3>
        <a:srgbClr val="5D739A"/>
      </a:accent3>
      <a:accent4>
        <a:srgbClr val="6997AF"/>
      </a:accent4>
      <a:accent5>
        <a:srgbClr val="84ACB6"/>
      </a:accent5>
      <a:accent6>
        <a:srgbClr val="6F8183"/>
      </a:accent6>
      <a:hlink>
        <a:srgbClr val="002060"/>
      </a:hlink>
      <a:folHlink>
        <a:srgbClr val="514D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9E3125AE2E3A4A988B9ED6352229A3" ma:contentTypeVersion="12" ma:contentTypeDescription="Create a new document." ma:contentTypeScope="" ma:versionID="a950475c9efcf5f9a73f6cfee1464052">
  <xsd:schema xmlns:xsd="http://www.w3.org/2001/XMLSchema" xmlns:xs="http://www.w3.org/2001/XMLSchema" xmlns:p="http://schemas.microsoft.com/office/2006/metadata/properties" xmlns:ns3="4eff9629-3610-477b-8379-dfa2a083d151" xmlns:ns4="12b63033-6040-4026-bdc8-6f18134b8682" targetNamespace="http://schemas.microsoft.com/office/2006/metadata/properties" ma:root="true" ma:fieldsID="b815a09abdb4de27311cf5b0385d1174" ns3:_="" ns4:_="">
    <xsd:import namespace="4eff9629-3610-477b-8379-dfa2a083d151"/>
    <xsd:import namespace="12b63033-6040-4026-bdc8-6f18134b86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f9629-3610-477b-8379-dfa2a083d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b63033-6040-4026-bdc8-6f18134b86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A9419-E67B-49C2-9F74-B16BD5130B00}">
  <ds:schemaRefs>
    <ds:schemaRef ds:uri="http://schemas.openxmlformats.org/officeDocument/2006/bibliography"/>
  </ds:schemaRefs>
</ds:datastoreItem>
</file>

<file path=customXml/itemProps2.xml><?xml version="1.0" encoding="utf-8"?>
<ds:datastoreItem xmlns:ds="http://schemas.openxmlformats.org/officeDocument/2006/customXml" ds:itemID="{835DB361-E364-4D1E-AEF7-6C1B804689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B2BB06-E77B-4CC9-82E7-6512B7426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f9629-3610-477b-8379-dfa2a083d151"/>
    <ds:schemaRef ds:uri="12b63033-6040-4026-bdc8-6f18134b8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A635A-8983-43ED-8104-55CC94BBAA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Infomap.new</Template>
  <TotalTime>18</TotalTime>
  <Pages>6</Pages>
  <Words>2356</Words>
  <Characters>15908</Characters>
  <Application>Microsoft Office Word</Application>
  <DocSecurity>0</DocSecurity>
  <Lines>454</Lines>
  <Paragraphs>117</Paragraphs>
  <ScaleCrop>false</ScaleCrop>
  <HeadingPairs>
    <vt:vector size="2" baseType="variant">
      <vt:variant>
        <vt:lpstr>Title</vt:lpstr>
      </vt:variant>
      <vt:variant>
        <vt:i4>1</vt:i4>
      </vt:variant>
    </vt:vector>
  </HeadingPairs>
  <TitlesOfParts>
    <vt:vector size="1" baseType="lpstr">
      <vt:lpstr>yOUR NAME</vt:lpstr>
    </vt:vector>
  </TitlesOfParts>
  <Company>Ministry of Foreign Affairs and Trade</Company>
  <LinksUpToDate>false</LinksUpToDate>
  <CharactersWithSpaces>18147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NAME</dc:title>
  <dc:subject/>
  <dc:creator>andersi</dc:creator>
  <cp:lastModifiedBy>Rebecca Thomas</cp:lastModifiedBy>
  <cp:revision>17</cp:revision>
  <cp:lastPrinted>2011-10-27T03:11:00Z</cp:lastPrinted>
  <dcterms:created xsi:type="dcterms:W3CDTF">2026-07-04T02:33:00Z</dcterms:created>
  <dcterms:modified xsi:type="dcterms:W3CDTF">2026-07-04T03:06:00Z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0x010100919E3125AE2E3A4A988B9ED6352229A3</vt:lpwstr>
  </property>
  <property fmtid="{D5CDD505-2E9C-101B-9397-08002B2CF9AE}" pid="3" name="_dlc_policyId">
    <vt:lpwstr>0x01010077AA9D1CFFA240DC80DAD99CA5F5CD00|-1830060468</vt:lpwstr>
  </property>
  <property fmtid="{D5CDD505-2E9C-101B-9397-08002B2CF9AE}" pid="4" name="ItemRetentionFormula">
    <vt:lpwstr/>
  </property>
  <property fmtid="{D5CDD505-2E9C-101B-9397-08002B2CF9AE}" pid="5" name="_dlc_DocIdItemGuid">
    <vt:lpwstr>5ad16565-20e7-493f-a51f-c575c89cbaeb</vt:lpwstr>
  </property>
  <property fmtid="{D5CDD505-2E9C-101B-9397-08002B2CF9AE}" pid="6" name="Order">
    <vt:r8>473100</vt:r8>
  </property>
  <property fmtid="{D5CDD505-2E9C-101B-9397-08002B2CF9AE}" pid="7" name="Topic">
    <vt:lpwstr>904;#Administration|dbd2b400-2f41-44be-9ffb-5d674245dc6e</vt:lpwstr>
  </property>
  <property fmtid="{D5CDD505-2E9C-101B-9397-08002B2CF9AE}" pid="8" name="FinancialYear">
    <vt:lpwstr/>
  </property>
  <property fmtid="{D5CDD505-2E9C-101B-9397-08002B2CF9AE}" pid="9" name="SecurityClassification">
    <vt:lpwstr>344;#UNCLASSIFIED|738a72fd-0042-476f-991b-551c05ade48c</vt:lpwstr>
  </property>
  <property fmtid="{D5CDD505-2E9C-101B-9397-08002B2CF9AE}" pid="10" name="Programme">
    <vt:lpwstr>2240;#Strategic Evaluation and Research|5a900277-3cfe-4758-969b-6dcd1f2e2940</vt:lpwstr>
  </property>
  <property fmtid="{D5CDD505-2E9C-101B-9397-08002B2CF9AE}" pid="11" name="CoveringClassification">
    <vt:lpwstr/>
  </property>
  <property fmtid="{D5CDD505-2E9C-101B-9397-08002B2CF9AE}" pid="12" name="SecurityCaveat">
    <vt:lpwstr/>
  </property>
  <property fmtid="{D5CDD505-2E9C-101B-9397-08002B2CF9AE}" pid="13" name="_dlc_LastRun">
    <vt:lpwstr>08/31/2019 23:28:34</vt:lpwstr>
  </property>
  <property fmtid="{D5CDD505-2E9C-101B-9397-08002B2CF9AE}" pid="14" name="_dlc_ItemStageId">
    <vt:lpwstr>1</vt:lpwstr>
  </property>
  <property fmtid="{D5CDD505-2E9C-101B-9397-08002B2CF9AE}" pid="15" name="GrammarlyDocumentId">
    <vt:lpwstr>1650c809785641c4348fad73f9bed9dd93f977bd7ef11c279579d9b7dea66773</vt:lpwstr>
  </property>
  <property fmtid="{D5CDD505-2E9C-101B-9397-08002B2CF9AE}" pid="16" name="MSIP_Label_bd9e4d68-54d0-40a5-8c9a-85a36c87352c_Enabled">
    <vt:lpwstr>true</vt:lpwstr>
  </property>
  <property fmtid="{D5CDD505-2E9C-101B-9397-08002B2CF9AE}" pid="17" name="MSIP_Label_bd9e4d68-54d0-40a5-8c9a-85a36c87352c_SetDate">
    <vt:lpwstr>2024-05-03T04:33:00Z</vt:lpwstr>
  </property>
  <property fmtid="{D5CDD505-2E9C-101B-9397-08002B2CF9AE}" pid="18" name="MSIP_Label_bd9e4d68-54d0-40a5-8c9a-85a36c87352c_Method">
    <vt:lpwstr>Standard</vt:lpwstr>
  </property>
  <property fmtid="{D5CDD505-2E9C-101B-9397-08002B2CF9AE}" pid="19" name="MSIP_Label_bd9e4d68-54d0-40a5-8c9a-85a36c87352c_Name">
    <vt:lpwstr>Unclassified</vt:lpwstr>
  </property>
  <property fmtid="{D5CDD505-2E9C-101B-9397-08002B2CF9AE}" pid="20" name="MSIP_Label_bd9e4d68-54d0-40a5-8c9a-85a36c87352c_SiteId">
    <vt:lpwstr>388728e1-bbd0-4378-98dc-f8682e644300</vt:lpwstr>
  </property>
  <property fmtid="{D5CDD505-2E9C-101B-9397-08002B2CF9AE}" pid="21" name="MSIP_Label_bd9e4d68-54d0-40a5-8c9a-85a36c87352c_ActionId">
    <vt:lpwstr>18f909c1-9e61-45bb-843a-94a63e2ec0b5</vt:lpwstr>
  </property>
  <property fmtid="{D5CDD505-2E9C-101B-9397-08002B2CF9AE}" pid="22" name="MSIP_Label_bd9e4d68-54d0-40a5-8c9a-85a36c87352c_ContentBits">
    <vt:lpwstr>0</vt:lpwstr>
  </property>
</Properties>
</file>